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jc w:val="left"/>
        <w:rPr>
          <w:rFonts w:ascii="ＭＳ ゴシック" w:hAnsi="ＭＳ ゴシック" w:eastAsia="ＭＳ ゴシック" w:asciiTheme="majorEastAsia" w:eastAsiaTheme="majorEastAsia" w:hAnsiTheme="majorEastAsia"/>
          <w:sz w:val="24"/>
        </w:rPr>
      </w:pPr>
      <w:r>
        <w:rPr>
          <w:rFonts w:eastAsia="ＭＳ ゴシック" w:eastAsiaTheme="majorEastAsia" w:ascii="ＭＳ ゴシック" w:hAnsi="ＭＳ ゴシック"/>
          <w:sz w:val="24"/>
        </w:rPr>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2"/>
        <w:gridCol w:w="3346"/>
      </w:tblGrid>
      <w:tr>
        <w:trPr>
          <w:trHeight w:val="400" w:hRule="atLeast"/>
        </w:trPr>
        <w:tc>
          <w:tcPr>
            <w:tcW w:w="100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認定権者記載欄</w:t>
            </w:r>
            <w:bookmarkStart w:id="0" w:name="_GoBack"/>
            <w:bookmarkEnd w:id="0"/>
          </w:p>
        </w:tc>
      </w:tr>
      <w:tr>
        <w:trPr>
          <w:trHeight w:val="238"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342"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3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273" w:hRule="atLeast"/>
        </w:trPr>
        <w:tc>
          <w:tcPr>
            <w:tcW w:w="334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3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3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bl>
    <w:p>
      <w:pPr>
        <w:pStyle w:val="Normal"/>
        <w:suppressAutoHyphens w:val="true"/>
        <w:spacing w:lineRule="atLeast" w:line="366"/>
        <w:jc w:val="left"/>
        <w:rPr>
          <w:rFonts w:ascii="ＭＳ ゴシック" w:hAnsi="ＭＳ ゴシック" w:eastAsia="ＭＳ ゴシック" w:asciiTheme="majorEastAsia" w:eastAsiaTheme="majorEastAsia" w:hAnsiTheme="majorEastAsia"/>
          <w:sz w:val="24"/>
        </w:rPr>
      </w:pPr>
      <w:r>
        <mc:AlternateContent>
          <mc:Choice Requires="wps">
            <w:drawing>
              <wp:anchor behindDoc="0" distT="0" distB="0" distL="0" distR="0" simplePos="0" locked="0" layoutInCell="0" allowOverlap="1" relativeHeight="2">
                <wp:simplePos x="0" y="0"/>
                <wp:positionH relativeFrom="column">
                  <wp:posOffset>-91440</wp:posOffset>
                </wp:positionH>
                <wp:positionV relativeFrom="paragraph">
                  <wp:posOffset>5879465</wp:posOffset>
                </wp:positionV>
                <wp:extent cx="6610350" cy="1156970"/>
                <wp:effectExtent l="0" t="0" r="0" b="0"/>
                <wp:wrapNone/>
                <wp:docPr id="1" name="Text Box 2"/>
                <a:graphic xmlns:a="http://schemas.openxmlformats.org/drawingml/2006/main">
                  <a:graphicData uri="http://schemas.microsoft.com/office/word/2010/wordprocessingShape">
                    <wps:wsp>
                      <wps:cNvSpPr/>
                      <wps:spPr>
                        <a:xfrm>
                          <a:off x="0" y="0"/>
                          <a:ext cx="6610320" cy="1157040"/>
                        </a:xfrm>
                        <a:prstGeom prst="rect">
                          <a:avLst/>
                        </a:prstGeom>
                        <a:noFill/>
                        <a:ln w="9525">
                          <a:noFill/>
                        </a:ln>
                      </wps:spPr>
                      <wps:style>
                        <a:lnRef idx="0"/>
                        <a:fillRef idx="0"/>
                        <a:effectRef idx="0"/>
                        <a:fontRef idx="minor"/>
                      </wps:style>
                      <wps:txbx>
                        <w:txbxContent>
                          <w:p>
                            <w:pPr>
                              <w:pStyle w:val="Style33"/>
                              <w:suppressAutoHyphens w:val="true"/>
                              <w:overflowPunct w:val="true"/>
                              <w:spacing w:lineRule="exact" w:line="240"/>
                              <w:ind w:left="722" w:hanging="861"/>
                              <w:jc w:val="left"/>
                              <w:textAlignment w:val="baseline"/>
                              <w:rPr>
                                <w:rFonts w:ascii="ＭＳ ゴシック" w:hAnsi="ＭＳ ゴシック" w:eastAsia="ＭＳ ゴシック"/>
                                <w:color w:val="000000"/>
                                <w:spacing w:val="16"/>
                                <w:kern w:val="0"/>
                                <w:sz w:val="18"/>
                              </w:rPr>
                            </w:pPr>
                            <w:r>
                              <w:rPr>
                                <w:rFonts w:ascii="ＭＳ ゴシック" w:hAnsi="ＭＳ ゴシック" w:eastAsia="ＭＳ ゴシック"/>
                                <w:color w:val="000000"/>
                                <w:spacing w:val="16"/>
                                <w:kern w:val="0"/>
                                <w:sz w:val="18"/>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Style33"/>
                              <w:suppressAutoHyphens w:val="true"/>
                              <w:overflowPunct w:val="true"/>
                              <w:spacing w:lineRule="exact" w:line="240"/>
                              <w:ind w:left="592" w:hanging="731"/>
                              <w:jc w:val="left"/>
                              <w:textAlignment w:val="baseline"/>
                              <w:rPr>
                                <w:rFonts w:ascii="ＭＳ ゴシック" w:hAnsi="ＭＳ ゴシック" w:eastAsia="ＭＳ ゴシック"/>
                                <w:color w:val="000000"/>
                                <w:spacing w:val="16"/>
                                <w:kern w:val="0"/>
                                <w:sz w:val="18"/>
                              </w:rPr>
                            </w:pPr>
                            <w:r>
                              <w:rPr>
                                <w:rFonts w:ascii="ＭＳ ゴシック" w:hAnsi="ＭＳ ゴシック" w:eastAsia="ＭＳ ゴシック"/>
                                <w:color w:val="000000"/>
                                <w:kern w:val="0"/>
                                <w:sz w:val="18"/>
                              </w:rPr>
                              <w:t>（注２）</w:t>
                            </w:r>
                            <w:r>
                              <w:rPr>
                                <w:rFonts w:ascii="ＭＳ ゴシック" w:hAnsi="ＭＳ ゴシック" w:eastAsia="ＭＳ ゴシック"/>
                                <w:color w:val="000000"/>
                                <w:kern w:val="0"/>
                                <w:sz w:val="18"/>
                                <w:u w:val="single"/>
                              </w:rPr>
                              <w:t>　　　　</w:t>
                            </w:r>
                            <w:r>
                              <w:rPr>
                                <w:rFonts w:ascii="ＭＳ ゴシック" w:hAnsi="ＭＳ ゴシック" w:eastAsia="ＭＳ ゴシック"/>
                                <w:color w:val="000000"/>
                                <w:kern w:val="0"/>
                                <w:sz w:val="18"/>
                              </w:rPr>
                              <w:t>には、「販売数量の減少」又は「売上高の減少」等を入れる。</w:t>
                            </w:r>
                          </w:p>
                          <w:p>
                            <w:pPr>
                              <w:pStyle w:val="Style33"/>
                              <w:suppressAutoHyphens w:val="true"/>
                              <w:spacing w:lineRule="exact" w:line="240"/>
                              <w:ind w:left="1230" w:hanging="1230"/>
                              <w:jc w:val="left"/>
                              <w:textAlignment w:val="baseline"/>
                              <w:rPr>
                                <w:rFonts w:ascii="ＭＳ ゴシック" w:hAnsi="ＭＳ ゴシック" w:eastAsia="ＭＳ ゴシック"/>
                                <w:color w:val="000000"/>
                                <w:spacing w:val="16"/>
                                <w:kern w:val="0"/>
                                <w:sz w:val="18"/>
                              </w:rPr>
                            </w:pPr>
                            <w:r>
                              <w:rPr>
                                <w:rFonts w:ascii="ＭＳ ゴシック" w:hAnsi="ＭＳ ゴシック" w:eastAsia="ＭＳ ゴシック"/>
                                <w:color w:val="000000"/>
                                <w:kern w:val="0"/>
                                <w:sz w:val="18"/>
                              </w:rPr>
                              <w:t>（留意事項）</w:t>
                            </w:r>
                          </w:p>
                          <w:p>
                            <w:pPr>
                              <w:pStyle w:val="Style33"/>
                              <w:suppressAutoHyphens w:val="true"/>
                              <w:spacing w:lineRule="exact" w:line="240"/>
                              <w:jc w:val="left"/>
                              <w:textAlignment w:val="baseline"/>
                              <w:rPr>
                                <w:rFonts w:ascii="ＭＳ ゴシック" w:hAnsi="ＭＳ ゴシック" w:eastAsia="ＭＳ ゴシック"/>
                                <w:color w:val="000000"/>
                                <w:spacing w:val="16"/>
                                <w:kern w:val="0"/>
                                <w:sz w:val="18"/>
                              </w:rPr>
                            </w:pPr>
                            <w:r>
                              <w:rPr>
                                <w:rFonts w:ascii="ＭＳ ゴシック" w:hAnsi="ＭＳ ゴシック" w:eastAsia="ＭＳ ゴシック"/>
                                <w:color w:val="000000"/>
                                <w:kern w:val="0"/>
                                <w:sz w:val="18"/>
                              </w:rPr>
                              <w:t>　①　本認定とは別に、金融機関及び信用保証協会による金融上の審査があります。</w:t>
                            </w:r>
                          </w:p>
                          <w:p>
                            <w:pPr>
                              <w:pStyle w:val="Style33"/>
                              <w:suppressAutoHyphens w:val="true"/>
                              <w:spacing w:lineRule="exact" w:line="240"/>
                              <w:ind w:left="492" w:hanging="492"/>
                              <w:jc w:val="left"/>
                              <w:textAlignment w:val="baseline"/>
                              <w:rPr>
                                <w:rFonts w:ascii="ＭＳ ゴシック" w:hAnsi="ＭＳ ゴシック" w:eastAsia="ＭＳ ゴシック"/>
                                <w:color w:val="000000"/>
                                <w:spacing w:val="16"/>
                                <w:kern w:val="0"/>
                                <w:sz w:val="18"/>
                              </w:rPr>
                            </w:pPr>
                            <w:r>
                              <w:rPr>
                                <w:rFonts w:ascii="ＭＳ ゴシック" w:hAnsi="ＭＳ ゴシック" w:eastAsia="ＭＳ ゴシック"/>
                                <w:color w:val="000000"/>
                                <w:kern w:val="0"/>
                                <w:sz w:val="18"/>
                              </w:rPr>
                              <w:t>　②　市町村長又は特別区長から認定を受けた後、本認定の有効期間内に金融機関又は信用保証協会に対して、経営安定関連保証の申込みを行うことが必要です。</w:t>
                            </w:r>
                          </w:p>
                        </w:txbxContent>
                      </wps:txbx>
                      <wps:bodyPr anchor="t" upright="1">
                        <a:spAutoFit/>
                      </wps:bodyPr>
                    </wps:wsp>
                  </a:graphicData>
                </a:graphic>
                <wp14:sizeRelV relativeFrom="margin">
                  <wp14:pctHeight>20000</wp14:pctHeight>
                </wp14:sizeRelV>
              </wp:anchor>
            </w:drawing>
          </mc:Choice>
          <mc:Fallback>
            <w:pict>
              <v:rect id="shape_0" ID="Text Box 2" path="m0,0l-2147483645,0l-2147483645,-2147483646l0,-2147483646xe" stroked="f" o:allowincell="f" style="position:absolute;margin-left:-7.2pt;margin-top:462.95pt;width:520.45pt;height:91.05pt;mso-wrap-style:square;v-text-anchor:top">
                <v:fill o:detectmouseclick="t" on="false"/>
                <v:stroke color="#3465a4" weight="9360" joinstyle="miter" endcap="flat"/>
                <v:textbox>
                  <w:txbxContent>
                    <w:p>
                      <w:pPr>
                        <w:pStyle w:val="Style33"/>
                        <w:suppressAutoHyphens w:val="true"/>
                        <w:overflowPunct w:val="true"/>
                        <w:spacing w:lineRule="exact" w:line="240"/>
                        <w:ind w:left="722" w:hanging="861"/>
                        <w:jc w:val="left"/>
                        <w:textAlignment w:val="baseline"/>
                        <w:rPr>
                          <w:rFonts w:ascii="ＭＳ ゴシック" w:hAnsi="ＭＳ ゴシック" w:eastAsia="ＭＳ ゴシック"/>
                          <w:color w:val="000000"/>
                          <w:spacing w:val="16"/>
                          <w:kern w:val="0"/>
                          <w:sz w:val="18"/>
                        </w:rPr>
                      </w:pPr>
                      <w:r>
                        <w:rPr>
                          <w:rFonts w:ascii="ＭＳ ゴシック" w:hAnsi="ＭＳ ゴシック" w:eastAsia="ＭＳ ゴシック"/>
                          <w:color w:val="000000"/>
                          <w:spacing w:val="16"/>
                          <w:kern w:val="0"/>
                          <w:sz w:val="18"/>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Style33"/>
                        <w:suppressAutoHyphens w:val="true"/>
                        <w:overflowPunct w:val="true"/>
                        <w:spacing w:lineRule="exact" w:line="240"/>
                        <w:ind w:left="592" w:hanging="731"/>
                        <w:jc w:val="left"/>
                        <w:textAlignment w:val="baseline"/>
                        <w:rPr>
                          <w:rFonts w:ascii="ＭＳ ゴシック" w:hAnsi="ＭＳ ゴシック" w:eastAsia="ＭＳ ゴシック"/>
                          <w:color w:val="000000"/>
                          <w:spacing w:val="16"/>
                          <w:kern w:val="0"/>
                          <w:sz w:val="18"/>
                        </w:rPr>
                      </w:pPr>
                      <w:r>
                        <w:rPr>
                          <w:rFonts w:ascii="ＭＳ ゴシック" w:hAnsi="ＭＳ ゴシック" w:eastAsia="ＭＳ ゴシック"/>
                          <w:color w:val="000000"/>
                          <w:kern w:val="0"/>
                          <w:sz w:val="18"/>
                        </w:rPr>
                        <w:t>（注２）</w:t>
                      </w:r>
                      <w:r>
                        <w:rPr>
                          <w:rFonts w:ascii="ＭＳ ゴシック" w:hAnsi="ＭＳ ゴシック" w:eastAsia="ＭＳ ゴシック"/>
                          <w:color w:val="000000"/>
                          <w:kern w:val="0"/>
                          <w:sz w:val="18"/>
                          <w:u w:val="single"/>
                        </w:rPr>
                        <w:t>　　　　</w:t>
                      </w:r>
                      <w:r>
                        <w:rPr>
                          <w:rFonts w:ascii="ＭＳ ゴシック" w:hAnsi="ＭＳ ゴシック" w:eastAsia="ＭＳ ゴシック"/>
                          <w:color w:val="000000"/>
                          <w:kern w:val="0"/>
                          <w:sz w:val="18"/>
                        </w:rPr>
                        <w:t>には、「販売数量の減少」又は「売上高の減少」等を入れる。</w:t>
                      </w:r>
                    </w:p>
                    <w:p>
                      <w:pPr>
                        <w:pStyle w:val="Style33"/>
                        <w:suppressAutoHyphens w:val="true"/>
                        <w:spacing w:lineRule="exact" w:line="240"/>
                        <w:ind w:left="1230" w:hanging="1230"/>
                        <w:jc w:val="left"/>
                        <w:textAlignment w:val="baseline"/>
                        <w:rPr>
                          <w:rFonts w:ascii="ＭＳ ゴシック" w:hAnsi="ＭＳ ゴシック" w:eastAsia="ＭＳ ゴシック"/>
                          <w:color w:val="000000"/>
                          <w:spacing w:val="16"/>
                          <w:kern w:val="0"/>
                          <w:sz w:val="18"/>
                        </w:rPr>
                      </w:pPr>
                      <w:r>
                        <w:rPr>
                          <w:rFonts w:ascii="ＭＳ ゴシック" w:hAnsi="ＭＳ ゴシック" w:eastAsia="ＭＳ ゴシック"/>
                          <w:color w:val="000000"/>
                          <w:kern w:val="0"/>
                          <w:sz w:val="18"/>
                        </w:rPr>
                        <w:t>（留意事項）</w:t>
                      </w:r>
                    </w:p>
                    <w:p>
                      <w:pPr>
                        <w:pStyle w:val="Style33"/>
                        <w:suppressAutoHyphens w:val="true"/>
                        <w:spacing w:lineRule="exact" w:line="240"/>
                        <w:jc w:val="left"/>
                        <w:textAlignment w:val="baseline"/>
                        <w:rPr>
                          <w:rFonts w:ascii="ＭＳ ゴシック" w:hAnsi="ＭＳ ゴシック" w:eastAsia="ＭＳ ゴシック"/>
                          <w:color w:val="000000"/>
                          <w:spacing w:val="16"/>
                          <w:kern w:val="0"/>
                          <w:sz w:val="18"/>
                        </w:rPr>
                      </w:pPr>
                      <w:r>
                        <w:rPr>
                          <w:rFonts w:ascii="ＭＳ ゴシック" w:hAnsi="ＭＳ ゴシック" w:eastAsia="ＭＳ ゴシック"/>
                          <w:color w:val="000000"/>
                          <w:kern w:val="0"/>
                          <w:sz w:val="18"/>
                        </w:rPr>
                        <w:t>　①　本認定とは別に、金融機関及び信用保証協会による金融上の審査があります。</w:t>
                      </w:r>
                    </w:p>
                    <w:p>
                      <w:pPr>
                        <w:pStyle w:val="Style33"/>
                        <w:suppressAutoHyphens w:val="true"/>
                        <w:spacing w:lineRule="exact" w:line="240"/>
                        <w:ind w:left="492" w:hanging="492"/>
                        <w:jc w:val="left"/>
                        <w:textAlignment w:val="baseline"/>
                        <w:rPr>
                          <w:rFonts w:ascii="ＭＳ ゴシック" w:hAnsi="ＭＳ ゴシック" w:eastAsia="ＭＳ ゴシック"/>
                          <w:color w:val="000000"/>
                          <w:spacing w:val="16"/>
                          <w:kern w:val="0"/>
                          <w:sz w:val="18"/>
                        </w:rPr>
                      </w:pPr>
                      <w:r>
                        <w:rPr>
                          <w:rFonts w:ascii="ＭＳ ゴシック" w:hAnsi="ＭＳ ゴシック" w:eastAsia="ＭＳ ゴシック"/>
                          <w:color w:val="000000"/>
                          <w:kern w:val="0"/>
                          <w:sz w:val="18"/>
                        </w:rPr>
                        <w:t>　②　市町村長又は特別区長から認定を受けた後、本認定の有効期間内に金融機関又は信用保証協会に対して、経営安定関連保証の申込みを行うことが必要です。</w:t>
                      </w:r>
                    </w:p>
                  </w:txbxContent>
                </v:textbox>
                <w10:wrap type="none"/>
              </v:rect>
            </w:pict>
          </mc:Fallback>
        </mc:AlternateContent>
      </w:r>
      <w:r>
        <w:rPr>
          <w:rFonts w:ascii="ＭＳ ゴシック" w:hAnsi="ＭＳ ゴシック" w:eastAsia="ＭＳ ゴシック" w:asciiTheme="majorEastAsia" w:eastAsiaTheme="majorEastAsia" w:hAnsiTheme="majorEastAsia"/>
          <w:color w:val="000000"/>
          <w:kern w:val="0"/>
        </w:rPr>
        <w:t>様式第５－（イ）－③</w:t>
      </w:r>
    </w:p>
    <w:tbl>
      <w:tblPr>
        <w:tblW w:w="9923"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923"/>
      </w:tblGrid>
      <w:tr>
        <w:trPr/>
        <w:tc>
          <w:tcPr>
            <w:tcW w:w="99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center"/>
              <w:textAlignment w:val="baseline"/>
              <w:rPr>
                <w:rFonts w:ascii="ＭＳ ゴシック" w:hAnsi="ＭＳ ゴシック" w:eastAsia="ＭＳ ゴシック" w:asciiTheme="majorEastAsia" w:eastAsiaTheme="majorEastAsia" w:hAnsiTheme="majorEastAsia"/>
                <w:color w:val="000000"/>
                <w:kern w:val="0"/>
              </w:rPr>
            </w:pPr>
            <w:r>
              <w:rPr>
                <w:rFonts w:ascii="ＭＳ ゴシック" w:hAnsi="ＭＳ ゴシック" w:eastAsia="ＭＳ ゴシック" w:asciiTheme="majorEastAsia" w:eastAsiaTheme="majorEastAsia" w:hAnsiTheme="majorEastAsia"/>
                <w:color w:val="000000"/>
                <w:kern w:val="0"/>
              </w:rPr>
              <w:t>中小企業信用保険法第２条第５項第５号の規定による認定申請書（イ－③）</w:t>
            </w:r>
          </w:p>
          <w:p>
            <w:pPr>
              <w:pStyle w:val="Normal"/>
              <w:widowControl w:val="false"/>
              <w:suppressAutoHyphens w:val="true"/>
              <w:overflowPunct w:val="true"/>
              <w:spacing w:lineRule="atLeast" w:line="274"/>
              <w:jc w:val="righ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令和　　年　　月　　日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小野町長　</w:t>
            </w:r>
            <w:r>
              <w:rPr>
                <w:rFonts w:ascii="ＭＳ ゴシック" w:hAnsi="ＭＳ ゴシック" w:eastAsia="ＭＳ ゴシック" w:asciiTheme="majorEastAsia" w:eastAsiaTheme="majorEastAsia" w:hAnsiTheme="majorEastAsia"/>
                <w:color w:val="000000"/>
                <w:kern w:val="0"/>
              </w:rPr>
              <w:t>村上　昭正</w:t>
            </w:r>
            <w:r>
              <w:rPr>
                <w:rFonts w:ascii="ＭＳ ゴシック" w:hAnsi="ＭＳ ゴシック" w:eastAsia="ＭＳ ゴシック" w:asciiTheme="majorEastAsia" w:eastAsiaTheme="majorEastAsia" w:hAnsiTheme="majorEastAsia"/>
                <w:color w:val="000000"/>
                <w:kern w:val="0"/>
              </w:rPr>
              <w:t>　殿</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申請者</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color="000000"/>
              </w:rPr>
              <w:t>住　所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w:t>
            </w:r>
            <w:r>
              <w:rPr>
                <w:rFonts w:ascii="ＭＳ ゴシック" w:hAnsi="ＭＳ ゴシック" w:eastAsia="ＭＳ ゴシック" w:asciiTheme="majorEastAsia" w:eastAsiaTheme="majorEastAsia" w:hAnsiTheme="majorEastAsia"/>
                <w:color w:val="000000"/>
                <w:kern w:val="0"/>
                <w:u w:val="single" w:color="000000"/>
              </w:rPr>
              <w:t>氏　名　　　　　　　　　　　　　印</w:t>
            </w:r>
          </w:p>
          <w:p>
            <w:pPr>
              <w:pStyle w:val="Normal"/>
              <w:widowControl w:val="false"/>
              <w:suppressAutoHyphens w:val="true"/>
              <w:overflowPunct w:val="true"/>
              <w:spacing w:lineRule="atLeast" w:line="274" w:before="120" w:after="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私は、表に記載する業を営んでいるが、下記のとおり、</w:t>
            </w:r>
            <w:r>
              <w:rPr>
                <w:rFonts w:ascii="ＭＳ ゴシック" w:hAnsi="ＭＳ ゴシック" w:eastAsia="ＭＳ ゴシック" w:asciiTheme="majorEastAsia" w:eastAsiaTheme="majorEastAsia" w:hAnsiTheme="majorEastAsia"/>
                <w:color w:val="000000"/>
                <w:kern w:val="0"/>
                <w:u w:val="single"/>
              </w:rPr>
              <w:t>　　　　　　　　　</w:t>
            </w:r>
            <w:r>
              <w:rPr>
                <w:rFonts w:ascii="ＭＳ ゴシック" w:hAnsi="ＭＳ ゴシック" w:eastAsia="ＭＳ ゴシック" w:asciiTheme="majorEastAsia" w:eastAsiaTheme="majorEastAsia" w:hAnsiTheme="majorEastAsia"/>
                <w:color w:val="000000"/>
                <w:kern w:val="0"/>
                <w:sz w:val="14"/>
                <w:u w:val="single"/>
              </w:rPr>
              <w:t>（注２）</w:t>
            </w:r>
            <w:r>
              <w:rPr>
                <w:rFonts w:ascii="ＭＳ ゴシック" w:hAnsi="ＭＳ ゴシック" w:eastAsia="ＭＳ ゴシック" w:asciiTheme="majorEastAsia" w:eastAsiaTheme="majorEastAsia" w:hAnsiTheme="majorEastAsia"/>
                <w:color w:val="000000"/>
                <w:kern w:val="0"/>
              </w:rPr>
              <w:t>が生じているため、経営の安定に支障が生じておりますので、中小企業信用保険法第２条第５項第５号の規定に基づき認定されるようお願いします。</w:t>
            </w:r>
          </w:p>
          <w:p>
            <w:pPr>
              <w:pStyle w:val="NoteHeading"/>
              <w:widowControl w:val="false"/>
              <w:rPr>
                <w:rFonts w:ascii="ＭＳ ゴシック" w:hAnsi="ＭＳ ゴシック" w:eastAsia="ＭＳ ゴシック" w:asciiTheme="majorEastAsia" w:eastAsiaTheme="majorEastAsia" w:hAnsiTheme="majorEastAsia"/>
              </w:rPr>
            </w:pPr>
            <w:r>
              <w:rPr>
                <w:rFonts w:ascii="ＭＳ ゴシック" w:hAnsi="ＭＳ ゴシック" w:asciiTheme="majorEastAsia" w:hAnsiTheme="majorEastAsia"/>
              </w:rPr>
              <w:t>記</w:t>
            </w:r>
          </w:p>
          <w:p>
            <w:pPr>
              <w:pStyle w:val="Closing"/>
              <w:widowControl w:val="false"/>
              <w:jc w:val="left"/>
              <w:rPr>
                <w:rFonts w:ascii="ＭＳ ゴシック" w:hAnsi="ＭＳ ゴシック" w:eastAsia="ＭＳ ゴシック" w:asciiTheme="majorEastAsia" w:eastAsiaTheme="majorEastAsia" w:hAnsiTheme="majorEastAsia"/>
              </w:rPr>
            </w:pPr>
            <w:r>
              <w:rPr>
                <w:rFonts w:ascii="ＭＳ ゴシック" w:hAnsi="ＭＳ ゴシック" w:asciiTheme="majorEastAsia" w:hAnsiTheme="majorEastAsia"/>
              </w:rPr>
              <w:t>（表</w:t>
            </w:r>
            <w:r>
              <w:rPr>
                <w:rFonts w:eastAsia="ＭＳ ゴシック" w:eastAsiaTheme="majorEastAsia"/>
              </w:rPr>
              <w:t>)</w:t>
            </w:r>
          </w:p>
          <w:tbl>
            <w:tblPr>
              <w:tblW w:w="956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89"/>
              <w:gridCol w:w="3189"/>
              <w:gridCol w:w="3190"/>
            </w:tblGrid>
            <w:tr>
              <w:trPr>
                <w:trHeight w:val="359" w:hRule="atLeast"/>
              </w:trPr>
              <w:tc>
                <w:tcPr>
                  <w:tcW w:w="3189"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true"/>
                    <w:spacing w:lineRule="atLeast" w:line="274"/>
                    <w:jc w:val="center"/>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c>
                <w:tcPr>
                  <w:tcW w:w="3189"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r>
            <w:tr>
              <w:trPr>
                <w:trHeight w:val="375" w:hRule="atLeast"/>
              </w:trPr>
              <w:tc>
                <w:tcPr>
                  <w:tcW w:w="3189"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c>
                <w:tcPr>
                  <w:tcW w:w="31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r>
          </w:tbl>
          <w:p>
            <w:pPr>
              <w:pStyle w:val="Normal"/>
              <w:widowControl w:val="false"/>
              <w:suppressAutoHyphens w:val="true"/>
              <w:overflowPunct w:val="true"/>
              <w:spacing w:lineRule="exact" w:line="240"/>
              <w:ind w:left="88" w:hanging="2"/>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spacing w:val="16"/>
                <w:kern w:val="0"/>
              </w:rPr>
              <w:t>※</w:t>
            </w:r>
            <w:r>
              <w:rPr>
                <w:rFonts w:ascii="ＭＳ ゴシック" w:hAnsi="ＭＳ ゴシック" w:eastAsia="ＭＳ ゴシック" w:asciiTheme="majorEastAsia" w:eastAsiaTheme="majorEastAsia" w:hAnsiTheme="major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Normal"/>
              <w:widowControl w:val="false"/>
              <w:suppressAutoHyphens w:val="true"/>
              <w:overflowPunct w:val="true"/>
              <w:spacing w:lineRule="atLeast" w:line="274" w:before="120" w:after="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売上高等</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spacing w:val="16"/>
                <w:kern w:val="0"/>
              </w:rPr>
              <w:t>（１）前年の企業全体の売上高等に対する、上記の表に記載した指定業種（以下同じ。）に属する事業の売上高等の減少額等の割合</w:t>
            </w:r>
          </w:p>
          <w:tbl>
            <w:tblPr>
              <w:tblStyle w:val="afd"/>
              <w:tblW w:w="8226" w:type="dxa"/>
              <w:jc w:val="left"/>
              <w:tblInd w:w="788"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Ｂ－Ａ</w:t>
                  </w:r>
                </w:p>
              </w:tc>
              <w:tc>
                <w:tcPr>
                  <w:tcW w:w="709"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ascii="ＭＳ ゴシック" w:hAnsi="ＭＳ ゴシック" w:asciiTheme="majorEastAsia" w:eastAsiaTheme="majorEastAsia" w:hAnsiTheme="majorEastAsia"/>
                      <w:kern w:val="0"/>
                      <w:sz w:val="22"/>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pacing w:lineRule="exact" w:line="300" w:before="0" w:after="0"/>
                    <w:ind w:firstLine="44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割合　　　　　％（実績見込み）</w:t>
                  </w:r>
                </w:p>
              </w:tc>
            </w:tr>
            <w:tr>
              <w:trPr/>
              <w:tc>
                <w:tcPr>
                  <w:tcW w:w="1034"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Ｄ</w:t>
                  </w:r>
                </w:p>
              </w:tc>
              <w:tc>
                <w:tcPr>
                  <w:tcW w:w="709"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1133"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5349"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Ａ：申込時点における最近３か月間の指定業種に属する事業の売上高等</w:t>
            </w:r>
            <w:r>
              <w:rPr>
                <w:rFonts w:ascii="ＭＳ ゴシック" w:hAnsi="ＭＳ ゴシック" w:eastAsia="ＭＳ ゴシック" w:asciiTheme="majorEastAsia" w:eastAsiaTheme="majorEastAsia" w:hAnsiTheme="majorEastAsia"/>
                <w:color w:val="000000"/>
                <w:spacing w:val="16"/>
                <w:kern w:val="0"/>
              </w:rPr>
              <w:t>　</w:t>
            </w:r>
            <w:r>
              <w:rPr>
                <w:rFonts w:ascii="ＭＳ ゴシック" w:hAnsi="ＭＳ ゴシック" w:eastAsia="ＭＳ ゴシック" w:asciiTheme="majorEastAsia" w:eastAsiaTheme="majorEastAsia" w:hAnsiTheme="majorEastAsia"/>
                <w:color w:val="000000"/>
                <w:spacing w:val="16"/>
                <w:kern w:val="0"/>
                <w:u w:val="single"/>
              </w:rPr>
              <w:t>　　　　　　　　</w:t>
            </w:r>
            <w:r>
              <w:rPr>
                <w:rFonts w:ascii="ＭＳ ゴシック" w:hAnsi="ＭＳ ゴシック" w:eastAsia="ＭＳ ゴシック" w:asciiTheme="majorEastAsia" w:eastAsiaTheme="majorEastAsia" w:hAnsiTheme="majorEastAsia"/>
                <w:color w:val="000000"/>
                <w:spacing w:val="16"/>
                <w:kern w:val="0"/>
              </w:rPr>
              <w:t>円</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Ｂ：Ａの期間に対応する前年の３か月間の指定業種に属する事業の売上高等</w:t>
            </w:r>
            <w:r>
              <w:rPr>
                <w:rFonts w:ascii="ＭＳ ゴシック" w:hAnsi="ＭＳ ゴシック" w:eastAsia="ＭＳ ゴシック" w:asciiTheme="majorEastAsia" w:eastAsiaTheme="majorEastAsia" w:hAnsiTheme="majorEastAsia"/>
                <w:color w:val="000000"/>
                <w:kern w:val="0"/>
                <w:u w:val="single" w:color="000000"/>
              </w:rPr>
              <w:t>　　 　　　　　　円</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kern w:val="0"/>
              </w:rPr>
            </w:pPr>
            <w:r>
              <w:rPr>
                <w:rFonts w:ascii="ＭＳ ゴシック" w:hAnsi="ＭＳ ゴシック" w:eastAsia="ＭＳ ゴシック" w:asciiTheme="majorEastAsia" w:eastAsiaTheme="majorEastAsia" w:hAnsiTheme="majorEastAsia"/>
                <w:color w:val="000000"/>
                <w:kern w:val="0"/>
              </w:rPr>
              <w:t xml:space="preserve">　　Ｄ：Ａの期間に対応する前年の３か月間の全体の売上高等  　　　　　　 </w:t>
            </w:r>
            <w:r>
              <w:rPr>
                <w:rFonts w:ascii="ＭＳ ゴシック" w:hAnsi="ＭＳ ゴシック" w:eastAsia="ＭＳ ゴシック" w:asciiTheme="majorEastAsia" w:eastAsiaTheme="majorEastAsia" w:hAnsiTheme="majorEastAsia"/>
                <w:color w:val="000000"/>
                <w:kern w:val="0"/>
                <w:u w:val="single"/>
              </w:rPr>
              <w:t xml:space="preserve">           　　   円</w:t>
            </w:r>
          </w:p>
          <w:p>
            <w:pPr>
              <w:pStyle w:val="Normal"/>
              <w:widowControl w:val="false"/>
              <w:suppressAutoHyphens w:val="true"/>
              <w:overflowPunct w:val="true"/>
              <w:spacing w:lineRule="atLeast" w:line="274" w:before="120" w:after="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spacing w:val="16"/>
                <w:kern w:val="0"/>
              </w:rPr>
              <w:t>（２）企業全体の売上高等の減少率</w:t>
            </w:r>
          </w:p>
          <w:tbl>
            <w:tblPr>
              <w:tblStyle w:val="afd"/>
              <w:tblW w:w="8226" w:type="dxa"/>
              <w:jc w:val="left"/>
              <w:tblInd w:w="788"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Ｄ－Ｃ</w:t>
                  </w:r>
                </w:p>
              </w:tc>
              <w:tc>
                <w:tcPr>
                  <w:tcW w:w="709"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ascii="ＭＳ ゴシック" w:hAnsi="ＭＳ ゴシック" w:asciiTheme="majorEastAsia" w:eastAsiaTheme="majorEastAsia" w:hAnsiTheme="majorEastAsia"/>
                      <w:kern w:val="0"/>
                      <w:sz w:val="22"/>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pacing w:lineRule="exact" w:line="300" w:before="0" w:after="0"/>
                    <w:ind w:firstLine="44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減少率　　　　　％（実績見込み）</w:t>
                  </w:r>
                </w:p>
              </w:tc>
            </w:tr>
            <w:tr>
              <w:trPr/>
              <w:tc>
                <w:tcPr>
                  <w:tcW w:w="1034"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Ｄ</w:t>
                  </w:r>
                </w:p>
              </w:tc>
              <w:tc>
                <w:tcPr>
                  <w:tcW w:w="709"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1133"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5349"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spacing w:val="16"/>
                <w:kern w:val="0"/>
              </w:rPr>
              <w:t>　　Ｃ：Ａの期間の全体の売上高等</w:t>
            </w:r>
            <w:r>
              <w:rPr>
                <w:rFonts w:ascii="ＭＳ ゴシック" w:hAnsi="ＭＳ ゴシック" w:eastAsia="ＭＳ ゴシック" w:asciiTheme="majorEastAsia" w:eastAsiaTheme="majorEastAsia" w:hAnsiTheme="majorEastAsia"/>
                <w:color w:val="000000"/>
                <w:spacing w:val="16"/>
                <w:kern w:val="0"/>
                <w:u w:val="single"/>
              </w:rPr>
              <w:t>　　　　　　　円</w:t>
            </w:r>
          </w:p>
          <w:p>
            <w:pPr>
              <w:pStyle w:val="Normal"/>
              <w:widowControl w:val="false"/>
              <w:suppressAutoHyphens w:val="true"/>
              <w:overflowPunct w:val="true"/>
              <w:spacing w:lineRule="atLeast" w:line="274"/>
              <w:ind w:firstLine="48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spacing w:val="16"/>
                <w:kern w:val="0"/>
              </w:rPr>
              <w:t>Ｄ：Ａの期間に対応する前年の３か月間の全体の売上高等</w:t>
            </w:r>
            <w:r>
              <w:rPr>
                <w:rFonts w:ascii="ＭＳ ゴシック" w:hAnsi="ＭＳ ゴシック" w:eastAsia="ＭＳ ゴシック" w:asciiTheme="majorEastAsia" w:eastAsiaTheme="majorEastAsia" w:hAnsiTheme="majorEastAsia"/>
                <w:color w:val="000000"/>
                <w:spacing w:val="16"/>
                <w:kern w:val="0"/>
                <w:u w:val="single"/>
              </w:rPr>
              <w:t>　　　　　　　円</w:t>
            </w:r>
          </w:p>
        </w:tc>
      </w:tr>
    </w:tbl>
    <w:p>
      <w:pPr>
        <w:pStyle w:val="Normal"/>
        <w:suppressAutoHyphens w:val="true"/>
        <w:spacing w:lineRule="atLeast" w:line="366"/>
        <w:ind w:left="281" w:hanging="281"/>
        <w:jc w:val="right"/>
        <w:rPr>
          <w:rFonts w:ascii="ＭＳ ゴシック" w:hAnsi="ＭＳ ゴシック" w:eastAsia="ＭＳ ゴシック" w:asciiTheme="majorEastAsia" w:eastAsiaTheme="majorEastAsia" w:hAnsiTheme="majorEastAsia"/>
          <w:sz w:val="24"/>
        </w:rPr>
      </w:pPr>
      <w:r>
        <w:rPr>
          <w:rFonts w:eastAsia="ＭＳ ゴシック" w:eastAsiaTheme="majorEastAsia" w:ascii="ＭＳ ゴシック" w:hAnsi="ＭＳ ゴシック"/>
          <w:sz w:val="24"/>
        </w:rPr>
      </w:r>
    </w:p>
    <w:p>
      <w:pPr>
        <w:pStyle w:val="Normal"/>
        <w:suppressAutoHyphens w:val="true"/>
        <w:spacing w:lineRule="atLeast" w:line="366"/>
        <w:ind w:left="281" w:right="960" w:hanging="281"/>
        <w:rPr>
          <w:rFonts w:ascii="ＭＳ ゴシック" w:hAnsi="ＭＳ ゴシック" w:eastAsia="ＭＳ ゴシック" w:asciiTheme="majorEastAsia" w:eastAsiaTheme="majorEastAsia" w:hAnsiTheme="majorEastAsia"/>
          <w:sz w:val="24"/>
        </w:rPr>
      </w:pPr>
      <w:r>
        <w:rPr>
          <w:rFonts w:eastAsia="ＭＳ ゴシック" w:eastAsiaTheme="majorEastAsia" w:ascii="ＭＳ ゴシック" w:hAnsi="ＭＳ ゴシック"/>
          <w:sz w:val="24"/>
        </w:rPr>
      </w:r>
    </w:p>
    <w:p>
      <w:pPr>
        <w:pStyle w:val="Normal"/>
        <w:suppressAutoHyphens w:val="true"/>
        <w:spacing w:lineRule="atLeast" w:line="366"/>
        <w:ind w:left="281" w:right="960" w:hanging="281"/>
        <w:rPr>
          <w:rFonts w:ascii="ＭＳ ゴシック" w:hAnsi="ＭＳ ゴシック" w:eastAsia="ＭＳ ゴシック" w:asciiTheme="majorEastAsia" w:eastAsiaTheme="majorEastAsia" w:hAnsiTheme="majorEastAsia"/>
          <w:sz w:val="24"/>
        </w:rPr>
      </w:pPr>
      <w:r>
        <w:rPr>
          <w:rFonts w:eastAsia="ＭＳ ゴシック" w:eastAsiaTheme="majorEastAsia" w:ascii="ＭＳ ゴシック" w:hAnsi="ＭＳ ゴシック"/>
          <w:sz w:val="24"/>
        </w:rPr>
      </w:r>
    </w:p>
    <w:p>
      <w:pPr>
        <w:pStyle w:val="Normal"/>
        <w:suppressAutoHyphens w:val="true"/>
        <w:spacing w:lineRule="atLeast" w:line="366"/>
        <w:ind w:left="281" w:right="960" w:hanging="281"/>
        <w:rPr>
          <w:rFonts w:ascii="ＭＳ ゴシック" w:hAnsi="ＭＳ ゴシック" w:eastAsia="ＭＳ ゴシック" w:asciiTheme="majorEastAsia" w:eastAsiaTheme="majorEastAsia" w:hAnsiTheme="majorEastAsia"/>
          <w:sz w:val="24"/>
        </w:rPr>
      </w:pPr>
      <w:r>
        <w:rPr>
          <w:rFonts w:eastAsia="ＭＳ ゴシック" w:eastAsiaTheme="majorEastAsia" w:ascii="ＭＳ ゴシック" w:hAnsi="ＭＳ ゴシック"/>
          <w:sz w:val="24"/>
        </w:rPr>
      </w:r>
    </w:p>
    <w:p>
      <w:pPr>
        <w:pStyle w:val="Normal"/>
        <w:suppressAutoHyphens w:val="true"/>
        <w:spacing w:lineRule="atLeast" w:line="366"/>
        <w:ind w:left="281" w:right="960" w:hanging="281"/>
        <w:rPr>
          <w:rFonts w:ascii="ＭＳ ゴシック" w:hAnsi="ＭＳ ゴシック" w:eastAsia="ＭＳ ゴシック" w:asciiTheme="majorEastAsia" w:eastAsiaTheme="majorEastAsia" w:hAnsiTheme="majorEastAsia"/>
          <w:sz w:val="24"/>
        </w:rPr>
      </w:pPr>
      <w:r>
        <w:rPr>
          <w:rFonts w:eastAsia="ＭＳ ゴシック" w:eastAsiaTheme="majorEastAsia" w:ascii="ＭＳ ゴシック" w:hAnsi="ＭＳ ゴシック"/>
          <w:sz w:val="24"/>
        </w:rPr>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認定番号　第　　　　号</w:t>
      </w:r>
    </w:p>
    <w:p>
      <w:pPr>
        <w:pStyle w:val="Normal"/>
        <w:spacing w:lineRule="exact" w:line="300" w:before="120" w:after="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令和　　年　　月　　日</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申請のとおり、相違ないことを認定します。</w:t>
      </w:r>
    </w:p>
    <w:p>
      <w:pPr>
        <w:pStyle w:val="Normal"/>
        <w:spacing w:lineRule="exact" w:line="300" w:before="120" w:after="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w:t>
      </w:r>
      <w:r>
        <w:rPr>
          <w:rFonts w:ascii="ＭＳ ゴシック" w:hAnsi="ＭＳ ゴシック" w:eastAsia="ＭＳ ゴシック" w:asciiTheme="majorEastAsia" w:eastAsiaTheme="majorEastAsia" w:hAnsiTheme="majorEastAsia"/>
          <w:sz w:val="22"/>
        </w:rPr>
        <w:t>本認定書の有効期間</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令和　　年　　月　　日から令和　　年　　月　　日まで</w:t>
      </w:r>
    </w:p>
    <w:p>
      <w:pPr>
        <w:pStyle w:val="Normal"/>
        <w:spacing w:lineRule="exact" w:line="300"/>
        <w:rPr>
          <w:rFonts w:ascii="ＭＳ ゴシック" w:hAnsi="ＭＳ ゴシック" w:eastAsia="ＭＳ ゴシック" w:asciiTheme="majorEastAsia" w:eastAsiaTheme="majorEastAsia" w:hAnsiTheme="majorEastAsia"/>
          <w:sz w:val="16"/>
        </w:rPr>
      </w:pPr>
      <w:r>
        <w:rPr>
          <w:rFonts w:ascii="ＭＳ ゴシック" w:hAnsi="ＭＳ ゴシック" w:eastAsia="ＭＳ ゴシック" w:asciiTheme="majorEastAsia" w:eastAsiaTheme="majorEastAsia" w:hAnsiTheme="majorEastAsia"/>
          <w:sz w:val="22"/>
        </w:rPr>
        <w:t>　</w:t>
      </w:r>
      <w:r>
        <w:rPr>
          <w:rFonts w:ascii="ＭＳ ゴシック" w:hAnsi="ＭＳ ゴシック" w:eastAsia="ＭＳ ゴシック" w:asciiTheme="majorEastAsia" w:eastAsiaTheme="majorEastAsia" w:hAnsiTheme="majorEastAsia"/>
          <w:sz w:val="16"/>
        </w:rPr>
        <w:t>（注）ただし、令和</w:t>
      </w:r>
      <w:r>
        <w:rPr>
          <w:rFonts w:eastAsia="ＭＳ ゴシック" w:ascii="ＭＳ ゴシック" w:hAnsi="ＭＳ ゴシック" w:asciiTheme="majorEastAsia" w:eastAsiaTheme="majorEastAsia" w:hAnsiTheme="majorEastAsia"/>
          <w:sz w:val="16"/>
        </w:rPr>
        <w:t>2</w:t>
      </w:r>
      <w:r>
        <w:rPr>
          <w:rFonts w:ascii="ＭＳ ゴシック" w:hAnsi="ＭＳ ゴシック" w:eastAsia="ＭＳ ゴシック" w:asciiTheme="majorEastAsia" w:eastAsiaTheme="majorEastAsia" w:hAnsiTheme="majorEastAsia"/>
          <w:sz w:val="16"/>
        </w:rPr>
        <w:t>年</w:t>
      </w:r>
      <w:r>
        <w:rPr>
          <w:rFonts w:eastAsia="ＭＳ ゴシック" w:ascii="ＭＳ ゴシック" w:hAnsi="ＭＳ ゴシック" w:asciiTheme="majorEastAsia" w:eastAsiaTheme="majorEastAsia" w:hAnsiTheme="majorEastAsia"/>
          <w:sz w:val="16"/>
        </w:rPr>
        <w:t>5</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1</w:t>
      </w:r>
      <w:r>
        <w:rPr>
          <w:rFonts w:ascii="ＭＳ ゴシック" w:hAnsi="ＭＳ ゴシック" w:eastAsia="ＭＳ ゴシック" w:asciiTheme="majorEastAsia" w:eastAsiaTheme="majorEastAsia" w:hAnsiTheme="majorEastAsia"/>
          <w:sz w:val="16"/>
        </w:rPr>
        <w:t>日から</w:t>
      </w:r>
      <w:r>
        <w:rPr>
          <w:rFonts w:eastAsia="ＭＳ ゴシック" w:ascii="ＭＳ ゴシック" w:hAnsi="ＭＳ ゴシック" w:asciiTheme="majorEastAsia" w:eastAsiaTheme="majorEastAsia" w:hAnsiTheme="majorEastAsia"/>
          <w:sz w:val="16"/>
        </w:rPr>
        <w:t>7</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日までに発行されたものの有効期間については</w:t>
      </w:r>
      <w:r>
        <w:rPr>
          <w:rFonts w:eastAsia="ＭＳ ゴシック" w:ascii="ＭＳ ゴシック" w:hAnsi="ＭＳ ゴシック" w:asciiTheme="majorEastAsia" w:eastAsiaTheme="majorEastAsia" w:hAnsiTheme="majorEastAsia"/>
          <w:sz w:val="16"/>
        </w:rPr>
        <w:t>8</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日までとする。</w:t>
      </w:r>
    </w:p>
    <w:p>
      <w:pPr>
        <w:pStyle w:val="Normal"/>
        <w:suppressAutoHyphens w:val="true"/>
        <w:spacing w:lineRule="atLeast" w:line="366" w:before="120" w:after="0"/>
        <w:ind w:left="257" w:right="-1" w:hanging="257"/>
        <w:jc w:val="right"/>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認定者名　小野町長　村　上　　昭　正　　　㊞　　　　　</w:t>
      </w:r>
    </w:p>
    <w:sectPr>
      <w:type w:val="nextPage"/>
      <w:pgSz w:w="11906" w:h="16838"/>
      <w:pgMar w:left="1077" w:right="567" w:gutter="0" w:header="0" w:top="567" w:footer="0" w:bottom="567"/>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03da"/>
    <w:pPr>
      <w:widowControl w:val="false"/>
      <w:bidi w:val="0"/>
      <w:spacing w:before="0" w:after="0"/>
      <w:jc w:val="both"/>
    </w:pPr>
    <w:rPr>
      <w:rFonts w:ascii="Century" w:hAnsi="Century" w:eastAsia="ＭＳ 明朝" w:cs="Times New Roman" w:asciiTheme="minorHAnsi" w:eastAsiaTheme="minorEastAsia" w:hAnsiTheme="minorHAnsi"/>
      <w:color w:val="auto"/>
      <w:kern w:val="2"/>
      <w:sz w:val="21"/>
      <w:szCs w:val="20"/>
      <w:lang w:val="en-US" w:eastAsia="ja-JP" w:bidi="ar-SA"/>
    </w:rPr>
  </w:style>
  <w:style w:type="paragraph" w:styleId="1">
    <w:name w:val="Heading 1"/>
    <w:basedOn w:val="Normal"/>
    <w:next w:val="Normal"/>
    <w:link w:val="11"/>
    <w:qFormat/>
    <w:pPr>
      <w:keepNext w:val="true"/>
      <w:outlineLvl w:val="0"/>
    </w:pPr>
    <w:rPr>
      <w:rFonts w:ascii="Arial" w:hAnsi="Arial" w:eastAsia="ＭＳ ゴシック" w:asciiTheme="majorHAnsi" w:eastAsiaTheme="majorEastAsia" w:hAnsiTheme="majorHAnsi"/>
      <w:sz w:val="24"/>
    </w:rPr>
  </w:style>
  <w:style w:type="paragraph" w:styleId="2">
    <w:name w:val="Heading 2"/>
    <w:basedOn w:val="Normal"/>
    <w:next w:val="Normal"/>
    <w:link w:val="21"/>
    <w:qFormat/>
    <w:pPr>
      <w:keepNext w:val="true"/>
      <w:outlineLvl w:val="1"/>
    </w:pPr>
    <w:rPr>
      <w:rFonts w:ascii="Arial" w:hAnsi="Arial" w:eastAsia="ＭＳ ゴシック" w:asciiTheme="majorHAns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qFormat/>
    <w:rPr>
      <w:rFonts w:ascii="Arial" w:hAnsi="Arial" w:eastAsia="ＭＳ ゴシック" w:asciiTheme="majorHAnsi" w:eastAsiaTheme="majorEastAsia" w:hAnsiTheme="majorHAnsi"/>
      <w:sz w:val="24"/>
    </w:rPr>
  </w:style>
  <w:style w:type="character" w:styleId="21" w:customStyle="1">
    <w:name w:val="見出し 2 (文字)"/>
    <w:basedOn w:val="DefaultParagraphFont"/>
    <w:qFormat/>
    <w:rPr>
      <w:rFonts w:ascii="Arial" w:hAnsi="Arial" w:eastAsia="ＭＳ ゴシック" w:asciiTheme="majorHAnsi" w:eastAsiaTheme="majorEastAsia" w:hAnsiTheme="majorHAnsi"/>
    </w:rPr>
  </w:style>
  <w:style w:type="character" w:styleId="Style12" w:customStyle="1">
    <w:name w:val="ヘッダー (文字)"/>
    <w:basedOn w:val="DefaultParagraphFont"/>
    <w:qFormat/>
    <w:rPr/>
  </w:style>
  <w:style w:type="character" w:styleId="Style13" w:customStyle="1">
    <w:name w:val="フッター (文字)"/>
    <w:basedOn w:val="DefaultParagraphFont"/>
    <w:qFormat/>
    <w:rPr/>
  </w:style>
  <w:style w:type="character" w:styleId="Style14" w:customStyle="1">
    <w:name w:val="吹き出し (文字)"/>
    <w:basedOn w:val="DefaultParagraphFont"/>
    <w:link w:val="BalloonText"/>
    <w:qFormat/>
    <w:rPr>
      <w:rFonts w:ascii="Arial" w:hAnsi="Arial" w:eastAsia="ＭＳ ゴシック" w:asciiTheme="majorHAnsi" w:eastAsiaTheme="majorEastAsia" w:hAnsiTheme="majorHAnsi"/>
      <w:sz w:val="18"/>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semiHidden/>
    <w:qFormat/>
    <w:rPr>
      <w:sz w:val="18"/>
    </w:rPr>
  </w:style>
  <w:style w:type="character" w:styleId="Style15" w:customStyle="1">
    <w:name w:val="コメント文字列 (文字)"/>
    <w:basedOn w:val="DefaultParagraphFont"/>
    <w:link w:val="Annotationtext"/>
    <w:qFormat/>
    <w:rPr/>
  </w:style>
  <w:style w:type="character" w:styleId="Style16" w:customStyle="1">
    <w:name w:val="コメント内容 (文字)"/>
    <w:basedOn w:val="Style15"/>
    <w:link w:val="Annotationsubject"/>
    <w:qFormat/>
    <w:rPr>
      <w:b/>
    </w:rPr>
  </w:style>
  <w:style w:type="character" w:styleId="Pagenumber">
    <w:name w:val="page number"/>
    <w:basedOn w:val="DefaultParagraphFont"/>
    <w:qFormat/>
    <w:rPr/>
  </w:style>
  <w:style w:type="character" w:styleId="Style17" w:customStyle="1">
    <w:name w:val="日付 (文字)"/>
    <w:basedOn w:val="DefaultParagraphFont"/>
    <w:link w:val="Date"/>
    <w:qFormat/>
    <w:rPr>
      <w:rFonts w:ascii="Century" w:hAnsi="Century" w:eastAsia="ＭＳ 明朝"/>
    </w:rPr>
  </w:style>
  <w:style w:type="character" w:styleId="Style18" w:customStyle="1">
    <w:name w:val="書式なし (文字)"/>
    <w:basedOn w:val="DefaultParagraphFont"/>
    <w:link w:val="PlainText"/>
    <w:qFormat/>
    <w:rPr>
      <w:rFonts w:ascii="ＭＳ ゴシック" w:hAnsi="ＭＳ ゴシック" w:eastAsia="ＭＳ ゴシック"/>
      <w:sz w:val="20"/>
    </w:rPr>
  </w:style>
  <w:style w:type="character" w:styleId="Style19" w:customStyle="1">
    <w:name w:val="記 (文字)"/>
    <w:basedOn w:val="DefaultParagraphFont"/>
    <w:link w:val="NoteHeading"/>
    <w:qFormat/>
    <w:rPr>
      <w:rFonts w:ascii="ＭＳ ゴシック" w:hAnsi="ＭＳ ゴシック" w:eastAsia="ＭＳ ゴシック"/>
      <w:color w:val="000000"/>
      <w:kern w:val="0"/>
    </w:rPr>
  </w:style>
  <w:style w:type="character" w:styleId="Style20" w:customStyle="1">
    <w:name w:val="結語 (文字)"/>
    <w:basedOn w:val="DefaultParagraphFont"/>
    <w:link w:val="Closing"/>
    <w:qFormat/>
    <w:rPr>
      <w:rFonts w:ascii="ＭＳ ゴシック" w:hAnsi="ＭＳ ゴシック" w:eastAsia="ＭＳ ゴシック"/>
      <w:color w:val="000000"/>
      <w:kern w:val="0"/>
    </w:rPr>
  </w:style>
  <w:style w:type="character" w:styleId="Style21">
    <w:name w:val="脚注参照番号"/>
    <w:rPr>
      <w:vertAlign w:val="superscript"/>
    </w:rPr>
  </w:style>
  <w:style w:type="character" w:styleId="FootnoteCharacters">
    <w:name w:val="Footnote Characters"/>
    <w:basedOn w:val="DefaultParagraphFont"/>
    <w:semiHidden/>
    <w:qFormat/>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name w:val="Index Heading"/>
    <w:basedOn w:val="Style23"/>
    <w:pPr/>
    <w:rPr/>
  </w:style>
  <w:style w:type="paragraph" w:styleId="Style29">
    <w:name w:val="TOC Heading"/>
    <w:basedOn w:val="1"/>
    <w:next w:val="Normal"/>
    <w:qFormat/>
    <w:pPr>
      <w:outlineLvl w:val="9"/>
    </w:pPr>
    <w:rPr/>
  </w:style>
  <w:style w:type="paragraph" w:styleId="Style30">
    <w:name w:val="ヘッダーとフッター"/>
    <w:basedOn w:val="Normal"/>
    <w:qFormat/>
    <w:pPr/>
    <w:rPr/>
  </w:style>
  <w:style w:type="paragraph" w:styleId="Style31">
    <w:name w:val="Header"/>
    <w:basedOn w:val="Normal"/>
    <w:link w:val="Style12"/>
    <w:pPr>
      <w:tabs>
        <w:tab w:val="clear" w:pos="840"/>
        <w:tab w:val="center" w:pos="4252" w:leader="none"/>
        <w:tab w:val="right" w:pos="8504" w:leader="none"/>
      </w:tabs>
      <w:snapToGrid w:val="false"/>
    </w:pPr>
    <w:rPr/>
  </w:style>
  <w:style w:type="paragraph" w:styleId="Style32">
    <w:name w:val="Footer"/>
    <w:basedOn w:val="Normal"/>
    <w:link w:val="Style13"/>
    <w:pPr>
      <w:tabs>
        <w:tab w:val="clear" w:pos="840"/>
        <w:tab w:val="center" w:pos="4252" w:leader="none"/>
        <w:tab w:val="right" w:pos="8504" w:leader="none"/>
      </w:tabs>
      <w:snapToGrid w:val="false"/>
    </w:pPr>
    <w:rPr/>
  </w:style>
  <w:style w:type="paragraph" w:styleId="BalloonText">
    <w:name w:val="Balloon Text"/>
    <w:basedOn w:val="Normal"/>
    <w:link w:val="Style14"/>
    <w:semiHidden/>
    <w:qFormat/>
    <w:pPr/>
    <w:rPr>
      <w:rFonts w:ascii="Arial" w:hAnsi="Arial" w:eastAsia="ＭＳ ゴシック" w:asciiTheme="majorHAnsi" w:eastAsiaTheme="majorEastAsia" w:hAnsiTheme="majorHAnsi"/>
      <w:sz w:val="18"/>
    </w:rPr>
  </w:style>
  <w:style w:type="paragraph" w:styleId="Annotationtext">
    <w:name w:val="annotation text"/>
    <w:basedOn w:val="Normal"/>
    <w:link w:val="Style15"/>
    <w:semiHidden/>
    <w:qFormat/>
    <w:pPr>
      <w:jc w:val="left"/>
    </w:pPr>
    <w:rPr/>
  </w:style>
  <w:style w:type="paragraph" w:styleId="Annotationsubject">
    <w:name w:val="annotation subject"/>
    <w:basedOn w:val="Annotationtext"/>
    <w:next w:val="Annotationtext"/>
    <w:link w:val="Style16"/>
    <w:semiHidden/>
    <w:qFormat/>
    <w:pPr/>
    <w:rPr>
      <w:b/>
    </w:rPr>
  </w:style>
  <w:style w:type="paragraph" w:styleId="Revision">
    <w:name w:val="Revision"/>
    <w:qFormat/>
    <w:pPr>
      <w:widowControl/>
      <w:bidi w:val="0"/>
      <w:spacing w:before="0" w:after="0"/>
      <w:jc w:val="left"/>
    </w:pPr>
    <w:rPr>
      <w:rFonts w:ascii="Century" w:hAnsi="Century" w:eastAsia="ＭＳ 明朝" w:cs="Times New Roman" w:asciiTheme="minorHAnsi" w:eastAsiaTheme="minorEastAsia" w:hAnsiTheme="minorHAnsi"/>
      <w:color w:val="auto"/>
      <w:kern w:val="2"/>
      <w:sz w:val="21"/>
      <w:szCs w:val="20"/>
      <w:lang w:val="en-US" w:eastAsia="ja-JP" w:bidi="ar-SA"/>
    </w:rPr>
  </w:style>
  <w:style w:type="paragraph" w:styleId="ListParagraph">
    <w:name w:val="List Paragraph"/>
    <w:basedOn w:val="Normal"/>
    <w:qFormat/>
    <w:pPr>
      <w:ind w:left="840" w:hanging="0"/>
    </w:pPr>
    <w:rPr>
      <w:rFonts w:ascii="Century" w:hAnsi="Century" w:eastAsia="ＭＳ 明朝"/>
    </w:rPr>
  </w:style>
  <w:style w:type="paragraph" w:styleId="Date">
    <w:name w:val="Date"/>
    <w:basedOn w:val="Normal"/>
    <w:next w:val="Normal"/>
    <w:link w:val="Style17"/>
    <w:qFormat/>
    <w:pPr/>
    <w:rPr>
      <w:rFonts w:ascii="Century" w:hAnsi="Century" w:eastAsia="ＭＳ 明朝"/>
    </w:rPr>
  </w:style>
  <w:style w:type="paragraph" w:styleId="PlainText">
    <w:name w:val="Plain Text"/>
    <w:basedOn w:val="Normal"/>
    <w:link w:val="Style18"/>
    <w:qFormat/>
    <w:pPr>
      <w:jc w:val="left"/>
    </w:pPr>
    <w:rPr>
      <w:rFonts w:ascii="ＭＳ ゴシック" w:hAnsi="ＭＳ ゴシック" w:eastAsia="ＭＳ ゴシック"/>
      <w:sz w:val="20"/>
    </w:rPr>
  </w:style>
  <w:style w:type="paragraph" w:styleId="NoteHeading">
    <w:name w:val="Note Heading"/>
    <w:basedOn w:val="Normal"/>
    <w:next w:val="Normal"/>
    <w:link w:val="Style19"/>
    <w:qFormat/>
    <w:pPr>
      <w:jc w:val="center"/>
    </w:pPr>
    <w:rPr>
      <w:rFonts w:ascii="ＭＳ ゴシック" w:hAnsi="ＭＳ ゴシック" w:eastAsia="ＭＳ ゴシック"/>
      <w:color w:val="000000"/>
      <w:kern w:val="0"/>
    </w:rPr>
  </w:style>
  <w:style w:type="paragraph" w:styleId="Closing">
    <w:name w:val="Closing"/>
    <w:basedOn w:val="Normal"/>
    <w:link w:val="Style20"/>
    <w:qFormat/>
    <w:pPr>
      <w:jc w:val="right"/>
    </w:pPr>
    <w:rPr>
      <w:rFonts w:ascii="ＭＳ ゴシック" w:hAnsi="ＭＳ ゴシック" w:eastAsia="ＭＳ ゴシック"/>
      <w:color w:val="000000"/>
      <w:kern w:val="0"/>
    </w:rPr>
  </w:style>
  <w:style w:type="paragraph" w:styleId="Style3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uiPriority w:val="39"/>
    <w:pPr>
      <w:jc w:val="both"/>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16A0D-D4E2-4771-9CB8-149FCA38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Application>LibreOffice/7.3.5.2$Windows_X86_64 LibreOffice_project/184fe81b8c8c30d8b5082578aee2fed2ea847c01</Application>
  <AppVersion>15.0000</AppVersion>
  <Pages>1</Pages>
  <Words>895</Words>
  <Characters>897</Characters>
  <CharactersWithSpaces>1194</CharactersWithSpaces>
  <Paragraphs>42</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2020-03-16T17:15:00Z</dcterms:created>
  <dc:creator>情報システム厚生課２</dc:creator>
  <dc:description/>
  <dc:language>ja-JP</dc:language>
  <cp:lastModifiedBy/>
  <cp:lastPrinted>2020-05-09T06:37:00Z</cp:lastPrinted>
  <dcterms:modified xsi:type="dcterms:W3CDTF">2024-03-25T14:27:55Z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