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2"/>
        <w:gridCol w:w="3346"/>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w:t>
            </w:r>
            <w:bookmarkStart w:id="0" w:name="_GoBack"/>
            <w:bookmarkEnd w:id="0"/>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suppressAutoHyphens w:val="true"/>
        <w:spacing w:lineRule="atLeast" w:line="366"/>
        <w:jc w:val="left"/>
        <w:rPr>
          <w:rFonts w:ascii="ＭＳ ゴシック" w:hAnsi="ＭＳ ゴシック" w:eastAsia="ＭＳ ゴシック" w:asciiTheme="majorEastAsia" w:eastAsiaTheme="majorEastAsia" w:hAnsiTheme="majorEastAsia"/>
          <w:sz w:val="24"/>
        </w:rPr>
      </w:pPr>
      <w:r>
        <mc:AlternateContent>
          <mc:Choice Requires="wps">
            <w:drawing>
              <wp:anchor behindDoc="0" distT="0" distB="0" distL="0" distR="0" simplePos="0" locked="0" layoutInCell="0" allowOverlap="1" relativeHeight="2">
                <wp:simplePos x="0" y="0"/>
                <wp:positionH relativeFrom="column">
                  <wp:posOffset>-91440</wp:posOffset>
                </wp:positionH>
                <wp:positionV relativeFrom="paragraph">
                  <wp:posOffset>5879465</wp:posOffset>
                </wp:positionV>
                <wp:extent cx="6610350" cy="1156970"/>
                <wp:effectExtent l="0" t="0" r="0" b="0"/>
                <wp:wrapNone/>
                <wp:docPr id="1" name="Text Box 2"/>
                <a:graphic xmlns:a="http://schemas.openxmlformats.org/drawingml/2006/main">
                  <a:graphicData uri="http://schemas.microsoft.com/office/word/2010/wordprocessingShape">
                    <wps:wsp>
                      <wps:cNvSpPr/>
                      <wps:spPr>
                        <a:xfrm>
                          <a:off x="0" y="0"/>
                          <a:ext cx="6610320" cy="1157040"/>
                        </a:xfrm>
                        <a:prstGeom prst="rect">
                          <a:avLst/>
                        </a:prstGeom>
                        <a:noFill/>
                        <a:ln w="9525">
                          <a:noFill/>
                        </a:ln>
                      </wps:spPr>
                      <wps:style>
                        <a:lnRef idx="0"/>
                        <a:fillRef idx="0"/>
                        <a:effectRef idx="0"/>
                        <a:fontRef idx="minor"/>
                      </wps:style>
                      <wps:txbx>
                        <w:txbxContent>
                          <w:p>
                            <w:pPr>
                              <w:pStyle w:val="Style33"/>
                              <w:suppressAutoHyphens w:val="true"/>
                              <w:overflowPunct w:val="true"/>
                              <w:spacing w:lineRule="exact" w:line="240"/>
                              <w:ind w:left="722" w:hanging="861"/>
                              <w:jc w:val="left"/>
                              <w:textAlignment w:val="baseline"/>
                              <w:rPr>
                                <w:rFonts w:ascii="ＭＳ ゴシック" w:hAnsi="ＭＳ ゴシック" w:eastAsia="ＭＳ ゴシック"/>
                                <w:color w:val="000000"/>
                                <w:spacing w:val="16"/>
                                <w:kern w:val="0"/>
                                <w:sz w:val="18"/>
                              </w:rPr>
                            </w:pPr>
                            <w:r>
                              <w:rPr>
                                <w:rFonts w:ascii="ＭＳ ゴシック" w:hAnsi="ＭＳ ゴシック" w:eastAsia="ＭＳ ゴシック"/>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Style33"/>
                              <w:suppressAutoHyphens w:val="true"/>
                              <w:overflowPunct w:val="true"/>
                              <w:spacing w:lineRule="exact" w:line="240"/>
                              <w:ind w:left="592" w:hanging="731"/>
                              <w:jc w:val="left"/>
                              <w:textAlignment w:val="baseline"/>
                              <w:rPr>
                                <w:rFonts w:ascii="ＭＳ ゴシック" w:hAnsi="ＭＳ ゴシック" w:eastAsia="ＭＳ ゴシック"/>
                                <w:color w:val="000000"/>
                                <w:spacing w:val="16"/>
                                <w:kern w:val="0"/>
                                <w:sz w:val="18"/>
                              </w:rPr>
                            </w:pPr>
                            <w:r>
                              <w:rPr>
                                <w:rFonts w:ascii="ＭＳ ゴシック" w:hAnsi="ＭＳ ゴシック" w:eastAsia="ＭＳ ゴシック"/>
                                <w:color w:val="000000"/>
                                <w:kern w:val="0"/>
                                <w:sz w:val="18"/>
                              </w:rPr>
                              <w:t>（注２）</w:t>
                            </w:r>
                            <w:r>
                              <w:rPr>
                                <w:rFonts w:ascii="ＭＳ ゴシック" w:hAnsi="ＭＳ ゴシック" w:eastAsia="ＭＳ ゴシック"/>
                                <w:color w:val="000000"/>
                                <w:kern w:val="0"/>
                                <w:sz w:val="18"/>
                                <w:u w:val="single"/>
                              </w:rPr>
                              <w:t>　　　　</w:t>
                            </w:r>
                            <w:r>
                              <w:rPr>
                                <w:rFonts w:ascii="ＭＳ ゴシック" w:hAnsi="ＭＳ ゴシック" w:eastAsia="ＭＳ ゴシック"/>
                                <w:color w:val="000000"/>
                                <w:kern w:val="0"/>
                                <w:sz w:val="18"/>
                              </w:rPr>
                              <w:t>には、「販売数量の減少」又は「売上高の減少」等を入れる。</w:t>
                            </w:r>
                          </w:p>
                          <w:p>
                            <w:pPr>
                              <w:pStyle w:val="Style33"/>
                              <w:suppressAutoHyphens w:val="true"/>
                              <w:spacing w:lineRule="exact" w:line="240"/>
                              <w:ind w:left="1230" w:hanging="1230"/>
                              <w:jc w:val="left"/>
                              <w:textAlignment w:val="baseline"/>
                              <w:rPr>
                                <w:rFonts w:ascii="ＭＳ ゴシック" w:hAnsi="ＭＳ ゴシック" w:eastAsia="ＭＳ ゴシック"/>
                                <w:color w:val="000000"/>
                                <w:spacing w:val="16"/>
                                <w:kern w:val="0"/>
                                <w:sz w:val="18"/>
                              </w:rPr>
                            </w:pPr>
                            <w:r>
                              <w:rPr>
                                <w:rFonts w:ascii="ＭＳ ゴシック" w:hAnsi="ＭＳ ゴシック" w:eastAsia="ＭＳ ゴシック"/>
                                <w:color w:val="000000"/>
                                <w:kern w:val="0"/>
                                <w:sz w:val="18"/>
                              </w:rPr>
                              <w:t>（留意事項）</w:t>
                            </w:r>
                          </w:p>
                          <w:p>
                            <w:pPr>
                              <w:pStyle w:val="Style33"/>
                              <w:suppressAutoHyphens w:val="true"/>
                              <w:spacing w:lineRule="exact" w:line="240"/>
                              <w:jc w:val="left"/>
                              <w:textAlignment w:val="baseline"/>
                              <w:rPr>
                                <w:rFonts w:ascii="ＭＳ ゴシック" w:hAnsi="ＭＳ ゴシック" w:eastAsia="ＭＳ ゴシック"/>
                                <w:color w:val="000000"/>
                                <w:spacing w:val="16"/>
                                <w:kern w:val="0"/>
                                <w:sz w:val="18"/>
                              </w:rPr>
                            </w:pPr>
                            <w:r>
                              <w:rPr>
                                <w:rFonts w:ascii="ＭＳ ゴシック" w:hAnsi="ＭＳ ゴシック" w:eastAsia="ＭＳ ゴシック"/>
                                <w:color w:val="000000"/>
                                <w:kern w:val="0"/>
                                <w:sz w:val="18"/>
                              </w:rPr>
                              <w:t>　①　本認定とは別に、金融機関及び信用保証協会による金融上の審査があります。</w:t>
                            </w:r>
                          </w:p>
                          <w:p>
                            <w:pPr>
                              <w:pStyle w:val="Style33"/>
                              <w:suppressAutoHyphens w:val="true"/>
                              <w:spacing w:lineRule="exact" w:line="240"/>
                              <w:ind w:left="492" w:hanging="492"/>
                              <w:jc w:val="left"/>
                              <w:textAlignment w:val="baseline"/>
                              <w:rPr>
                                <w:rFonts w:ascii="ＭＳ ゴシック" w:hAnsi="ＭＳ ゴシック" w:eastAsia="ＭＳ ゴシック"/>
                                <w:color w:val="000000"/>
                                <w:spacing w:val="16"/>
                                <w:kern w:val="0"/>
                                <w:sz w:val="18"/>
                              </w:rPr>
                            </w:pPr>
                            <w:r>
                              <w:rPr>
                                <w:rFonts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txbxContent>
                      </wps:txbx>
                      <wps:bodyPr anchor="t" upright="1">
                        <a:spAutoFit/>
                      </wps:bodyPr>
                    </wps:wsp>
                  </a:graphicData>
                </a:graphic>
                <wp14:sizeRelV relativeFrom="margin">
                  <wp14:pctHeight>20000</wp14:pctHeight>
                </wp14:sizeRelV>
              </wp:anchor>
            </w:drawing>
          </mc:Choice>
          <mc:Fallback>
            <w:pict>
              <v:rect id="shape_0" ID="Text Box 2" path="m0,0l-2147483645,0l-2147483645,-2147483646l0,-2147483646xe" stroked="f" o:allowincell="f" style="position:absolute;margin-left:-7.2pt;margin-top:462.95pt;width:520.45pt;height:91.05pt;mso-wrap-style:square;v-text-anchor:top">
                <v:fill o:detectmouseclick="t" on="false"/>
                <v:stroke color="#3465a4" weight="9360" joinstyle="miter" endcap="flat"/>
                <v:textbox>
                  <w:txbxContent>
                    <w:p>
                      <w:pPr>
                        <w:pStyle w:val="Style33"/>
                        <w:suppressAutoHyphens w:val="true"/>
                        <w:overflowPunct w:val="true"/>
                        <w:spacing w:lineRule="exact" w:line="240"/>
                        <w:ind w:left="722" w:hanging="861"/>
                        <w:jc w:val="left"/>
                        <w:textAlignment w:val="baseline"/>
                        <w:rPr>
                          <w:rFonts w:ascii="ＭＳ ゴシック" w:hAnsi="ＭＳ ゴシック" w:eastAsia="ＭＳ ゴシック"/>
                          <w:color w:val="000000"/>
                          <w:spacing w:val="16"/>
                          <w:kern w:val="0"/>
                          <w:sz w:val="18"/>
                        </w:rPr>
                      </w:pPr>
                      <w:r>
                        <w:rPr>
                          <w:rFonts w:ascii="ＭＳ ゴシック" w:hAnsi="ＭＳ ゴシック" w:eastAsia="ＭＳ ゴシック"/>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Style33"/>
                        <w:suppressAutoHyphens w:val="true"/>
                        <w:overflowPunct w:val="true"/>
                        <w:spacing w:lineRule="exact" w:line="240"/>
                        <w:ind w:left="592" w:hanging="731"/>
                        <w:jc w:val="left"/>
                        <w:textAlignment w:val="baseline"/>
                        <w:rPr>
                          <w:rFonts w:ascii="ＭＳ ゴシック" w:hAnsi="ＭＳ ゴシック" w:eastAsia="ＭＳ ゴシック"/>
                          <w:color w:val="000000"/>
                          <w:spacing w:val="16"/>
                          <w:kern w:val="0"/>
                          <w:sz w:val="18"/>
                        </w:rPr>
                      </w:pPr>
                      <w:r>
                        <w:rPr>
                          <w:rFonts w:ascii="ＭＳ ゴシック" w:hAnsi="ＭＳ ゴシック" w:eastAsia="ＭＳ ゴシック"/>
                          <w:color w:val="000000"/>
                          <w:kern w:val="0"/>
                          <w:sz w:val="18"/>
                        </w:rPr>
                        <w:t>（注２）</w:t>
                      </w:r>
                      <w:r>
                        <w:rPr>
                          <w:rFonts w:ascii="ＭＳ ゴシック" w:hAnsi="ＭＳ ゴシック" w:eastAsia="ＭＳ ゴシック"/>
                          <w:color w:val="000000"/>
                          <w:kern w:val="0"/>
                          <w:sz w:val="18"/>
                          <w:u w:val="single"/>
                        </w:rPr>
                        <w:t>　　　　</w:t>
                      </w:r>
                      <w:r>
                        <w:rPr>
                          <w:rFonts w:ascii="ＭＳ ゴシック" w:hAnsi="ＭＳ ゴシック" w:eastAsia="ＭＳ ゴシック"/>
                          <w:color w:val="000000"/>
                          <w:kern w:val="0"/>
                          <w:sz w:val="18"/>
                        </w:rPr>
                        <w:t>には、「販売数量の減少」又は「売上高の減少」等を入れる。</w:t>
                      </w:r>
                    </w:p>
                    <w:p>
                      <w:pPr>
                        <w:pStyle w:val="Style33"/>
                        <w:suppressAutoHyphens w:val="true"/>
                        <w:spacing w:lineRule="exact" w:line="240"/>
                        <w:ind w:left="1230" w:hanging="1230"/>
                        <w:jc w:val="left"/>
                        <w:textAlignment w:val="baseline"/>
                        <w:rPr>
                          <w:rFonts w:ascii="ＭＳ ゴシック" w:hAnsi="ＭＳ ゴシック" w:eastAsia="ＭＳ ゴシック"/>
                          <w:color w:val="000000"/>
                          <w:spacing w:val="16"/>
                          <w:kern w:val="0"/>
                          <w:sz w:val="18"/>
                        </w:rPr>
                      </w:pPr>
                      <w:r>
                        <w:rPr>
                          <w:rFonts w:ascii="ＭＳ ゴシック" w:hAnsi="ＭＳ ゴシック" w:eastAsia="ＭＳ ゴシック"/>
                          <w:color w:val="000000"/>
                          <w:kern w:val="0"/>
                          <w:sz w:val="18"/>
                        </w:rPr>
                        <w:t>（留意事項）</w:t>
                      </w:r>
                    </w:p>
                    <w:p>
                      <w:pPr>
                        <w:pStyle w:val="Style33"/>
                        <w:suppressAutoHyphens w:val="true"/>
                        <w:spacing w:lineRule="exact" w:line="240"/>
                        <w:jc w:val="left"/>
                        <w:textAlignment w:val="baseline"/>
                        <w:rPr>
                          <w:rFonts w:ascii="ＭＳ ゴシック" w:hAnsi="ＭＳ ゴシック" w:eastAsia="ＭＳ ゴシック"/>
                          <w:color w:val="000000"/>
                          <w:spacing w:val="16"/>
                          <w:kern w:val="0"/>
                          <w:sz w:val="18"/>
                        </w:rPr>
                      </w:pPr>
                      <w:r>
                        <w:rPr>
                          <w:rFonts w:ascii="ＭＳ ゴシック" w:hAnsi="ＭＳ ゴシック" w:eastAsia="ＭＳ ゴシック"/>
                          <w:color w:val="000000"/>
                          <w:kern w:val="0"/>
                          <w:sz w:val="18"/>
                        </w:rPr>
                        <w:t>　①　本認定とは別に、金融機関及び信用保証協会による金融上の審査があります。</w:t>
                      </w:r>
                    </w:p>
                    <w:p>
                      <w:pPr>
                        <w:pStyle w:val="Style33"/>
                        <w:suppressAutoHyphens w:val="true"/>
                        <w:spacing w:lineRule="exact" w:line="240"/>
                        <w:ind w:left="492" w:hanging="492"/>
                        <w:jc w:val="left"/>
                        <w:textAlignment w:val="baseline"/>
                        <w:rPr>
                          <w:rFonts w:ascii="ＭＳ ゴシック" w:hAnsi="ＭＳ ゴシック" w:eastAsia="ＭＳ ゴシック"/>
                          <w:color w:val="000000"/>
                          <w:spacing w:val="16"/>
                          <w:kern w:val="0"/>
                          <w:sz w:val="18"/>
                        </w:rPr>
                      </w:pPr>
                      <w:r>
                        <w:rPr>
                          <w:rFonts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txbxContent>
                </v:textbox>
                <w10:wrap type="none"/>
              </v:rect>
            </w:pict>
          </mc:Fallback>
        </mc:AlternateContent>
      </w:r>
      <w:r>
        <w:rPr>
          <w:rFonts w:ascii="ＭＳ ゴシック" w:hAnsi="ＭＳ ゴシック" w:eastAsia="ＭＳ ゴシック" w:asciiTheme="majorEastAsia" w:eastAsiaTheme="majorEastAsia" w:hAnsiTheme="majorEastAsia"/>
          <w:color w:val="000000"/>
          <w:kern w:val="0"/>
        </w:rPr>
        <w:t>様式第５－（イ）－③</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中小企業信用保険法第２条第５項第５号の規定による認定申請書（イ－③）</w:t>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w:t>
            </w:r>
            <w:r>
              <w:rPr>
                <w:rFonts w:ascii="ＭＳ ゴシック" w:hAnsi="ＭＳ ゴシック" w:eastAsia="ＭＳ ゴシック" w:asciiTheme="majorEastAsia" w:eastAsiaTheme="majorEastAsia" w:hAnsiTheme="majorEastAsia"/>
                <w:color w:val="000000"/>
                <w:kern w:val="0"/>
              </w:rPr>
              <w:t>村上　昭正</w:t>
            </w:r>
            <w:r>
              <w:rPr>
                <w:rFonts w:ascii="ＭＳ ゴシック" w:hAnsi="ＭＳ ゴシック" w:eastAsia="ＭＳ ゴシック" w:asciiTheme="majorEastAsia" w:eastAsiaTheme="majorEastAsia" w:hAnsiTheme="majorEastAsia"/>
                <w:color w:val="000000"/>
                <w:kern w:val="0"/>
              </w:rPr>
              <w:t>　殿</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申請者</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w:t>
            </w:r>
            <w:r>
              <w:rPr>
                <w:rFonts w:ascii="ＭＳ ゴシック" w:hAnsi="ＭＳ ゴシック" w:eastAsia="ＭＳ ゴシック" w:asciiTheme="majorEastAsia" w:eastAsiaTheme="majorEastAsia" w:hAnsiTheme="majorEastAsia"/>
                <w:color w:val="000000"/>
                <w:kern w:val="0"/>
                <w:u w:val="single" w:color="000000"/>
              </w:rPr>
              <w:t>氏　名　　　　　　　　　　　　　印</w:t>
            </w:r>
          </w:p>
          <w:p>
            <w:pPr>
              <w:pStyle w:val="Normal"/>
              <w:widowControl w:val="false"/>
              <w:suppressAutoHyphens w:val="true"/>
              <w:overflowPunct w:val="true"/>
              <w:spacing w:lineRule="atLeast" w:line="274" w:before="120" w:after="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私は、表に記載する業を営んでいるが、下記のとおり、</w:t>
            </w:r>
            <w:r>
              <w:rPr>
                <w:rFonts w:ascii="ＭＳ ゴシック" w:hAnsi="ＭＳ ゴシック" w:eastAsia="ＭＳ ゴシック" w:asciiTheme="majorEastAsia" w:eastAsiaTheme="majorEastAsia" w:hAnsiTheme="majorEastAsia"/>
                <w:color w:val="000000"/>
                <w:kern w:val="0"/>
                <w:u w:val="single"/>
              </w:rPr>
              <w:t>　　　　　　　　　</w:t>
            </w:r>
            <w:r>
              <w:rPr>
                <w:rFonts w:ascii="ＭＳ ゴシック" w:hAnsi="ＭＳ ゴシック" w:eastAsia="ＭＳ ゴシック" w:asciiTheme="majorEastAsia" w:eastAsiaTheme="majorEastAsia" w:hAnsiTheme="majorEastAsia"/>
                <w:color w:val="000000"/>
                <w:kern w:val="0"/>
                <w:sz w:val="14"/>
                <w:u w:val="single"/>
              </w:rPr>
              <w:t>（注２）</w:t>
            </w:r>
            <w:r>
              <w:rPr>
                <w:rFonts w:ascii="ＭＳ ゴシック" w:hAnsi="ＭＳ ゴシック" w:eastAsia="ＭＳ ゴシック"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NoteHeading"/>
              <w:widowControl w:val="false"/>
              <w:rPr>
                <w:rFonts w:ascii="ＭＳ ゴシック" w:hAnsi="ＭＳ ゴシック" w:eastAsia="ＭＳ ゴシック" w:asciiTheme="majorEastAsia" w:eastAsiaTheme="majorEastAsia" w:hAnsiTheme="majorEastAsia"/>
              </w:rPr>
            </w:pPr>
            <w:r>
              <w:rPr>
                <w:rFonts w:ascii="ＭＳ ゴシック" w:hAnsi="ＭＳ ゴシック" w:asciiTheme="majorEastAsia" w:hAnsiTheme="majorEastAsia"/>
              </w:rPr>
              <w:t>記</w:t>
            </w:r>
          </w:p>
          <w:p>
            <w:pPr>
              <w:pStyle w:val="Closing"/>
              <w:widowControl w:val="false"/>
              <w:jc w:val="left"/>
              <w:rPr>
                <w:rFonts w:ascii="ＭＳ ゴシック" w:hAnsi="ＭＳ ゴシック" w:eastAsia="ＭＳ ゴシック" w:asciiTheme="majorEastAsia" w:eastAsiaTheme="majorEastAsia" w:hAnsiTheme="majorEastAsia"/>
              </w:rPr>
            </w:pPr>
            <w:r>
              <w:rPr>
                <w:rFonts w:ascii="ＭＳ ゴシック" w:hAnsi="ＭＳ ゴシック" w:asciiTheme="majorEastAsia" w:hAnsiTheme="majorEastAsia"/>
              </w:rPr>
              <w:t>（表</w:t>
            </w:r>
            <w:r>
              <w:rPr>
                <w:rFonts w:eastAsia="ＭＳ ゴシック" w:eastAsiaTheme="majorEastAsia"/>
              </w:rPr>
              <w:t>)</w:t>
            </w:r>
          </w:p>
          <w:tbl>
            <w:tblPr>
              <w:tblW w:w="95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89"/>
              <w:gridCol w:w="3189"/>
              <w:gridCol w:w="3190"/>
            </w:tblGrid>
            <w:tr>
              <w:trPr>
                <w:trHeight w:val="359" w:hRule="atLeast"/>
              </w:trPr>
              <w:tc>
                <w:tcPr>
                  <w:tcW w:w="3189"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89"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r>
              <w:trPr>
                <w:trHeight w:val="375" w:hRule="atLeast"/>
              </w:trPr>
              <w:tc>
                <w:tcPr>
                  <w:tcW w:w="3189"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widowControl w:val="false"/>
              <w:suppressAutoHyphens w:val="true"/>
              <w:overflowPunct w:val="true"/>
              <w:spacing w:lineRule="exact" w:line="240"/>
              <w:ind w:left="88" w:hanging="2"/>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w:t>
            </w:r>
            <w:r>
              <w:rPr>
                <w:rFonts w:ascii="ＭＳ ゴシック" w:hAnsi="ＭＳ ゴシック" w:eastAsia="ＭＳ ゴシック" w:asciiTheme="majorEastAsia" w:eastAsiaTheme="majorEastAsia" w:hAnsiTheme="maj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Normal"/>
              <w:widowControl w:val="false"/>
              <w:suppressAutoHyphens w:val="true"/>
              <w:overflowPunct w:val="true"/>
              <w:spacing w:lineRule="atLeast" w:line="274" w:before="120" w:after="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売上高等</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（１）前年の企業全体の売上高等に対する、上記の表に記載した指定業種（以下同じ。）に属する事業の売上高等の減少額等の割合</w:t>
            </w:r>
          </w:p>
          <w:tbl>
            <w:tblPr>
              <w:tblStyle w:val="afd"/>
              <w:tblW w:w="8226"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Ｂ－Ａ</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割合　　　　　％（実績見込み）</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Ｄ</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Ａ：申込時点における最近３か月間の指定業種に属する事業の売上高等</w:t>
            </w: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spacing w:val="16"/>
                <w:kern w:val="0"/>
                <w:u w:val="single"/>
              </w:rPr>
              <w:t>　　　　　　　　</w:t>
            </w:r>
            <w:r>
              <w:rPr>
                <w:rFonts w:ascii="ＭＳ ゴシック" w:hAnsi="ＭＳ ゴシック" w:eastAsia="ＭＳ ゴシック" w:asciiTheme="majorEastAsia" w:eastAsiaTheme="majorEastAsia" w:hAnsiTheme="majorEastAsia"/>
                <w:color w:val="000000"/>
                <w:spacing w:val="16"/>
                <w:kern w:val="0"/>
              </w:rPr>
              <w:t>円</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Ｂ：Ａの期間に対応する前年の３か月間の指定業種に属する事業の売上高等</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xml:space="preserve">　　Ｄ：Ａの期間に対応する前年の３か月間の全体の売上高等  　　　　　　 </w:t>
            </w:r>
            <w:r>
              <w:rPr>
                <w:rFonts w:ascii="ＭＳ ゴシック" w:hAnsi="ＭＳ ゴシック" w:eastAsia="ＭＳ ゴシック" w:asciiTheme="majorEastAsia" w:eastAsiaTheme="majorEastAsia" w:hAnsiTheme="majorEastAsia"/>
                <w:color w:val="000000"/>
                <w:kern w:val="0"/>
                <w:u w:val="single"/>
              </w:rPr>
              <w:t xml:space="preserve">           　　   円</w:t>
            </w:r>
          </w:p>
          <w:p>
            <w:pPr>
              <w:pStyle w:val="Normal"/>
              <w:widowControl w:val="false"/>
              <w:suppressAutoHyphens w:val="true"/>
              <w:overflowPunct w:val="true"/>
              <w:spacing w:lineRule="atLeast" w:line="274" w:before="120" w:after="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（２）企業全体の売上高等の減少率</w:t>
            </w:r>
          </w:p>
          <w:tbl>
            <w:tblPr>
              <w:tblStyle w:val="afd"/>
              <w:tblW w:w="8226"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Ｄ－Ｃ</w:t>
                  </w:r>
                </w:p>
              </w:tc>
              <w:tc>
                <w:tcPr>
                  <w:tcW w:w="709"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％（実績見込み）</w:t>
                  </w:r>
                </w:p>
              </w:tc>
            </w:tr>
            <w:tr>
              <w:trPr/>
              <w:tc>
                <w:tcPr>
                  <w:tcW w:w="1034"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Ｄ</w:t>
                  </w:r>
                </w:p>
              </w:tc>
              <w:tc>
                <w:tcPr>
                  <w:tcW w:w="70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33"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349"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　　Ｃ：Ａの期間の全体の売上高等</w:t>
            </w:r>
            <w:r>
              <w:rPr>
                <w:rFonts w:ascii="ＭＳ ゴシック" w:hAnsi="ＭＳ ゴシック" w:eastAsia="ＭＳ ゴシック" w:asciiTheme="majorEastAsia" w:eastAsiaTheme="majorEastAsia" w:hAnsiTheme="majorEastAsia"/>
                <w:color w:val="000000"/>
                <w:spacing w:val="16"/>
                <w:kern w:val="0"/>
                <w:u w:val="single"/>
              </w:rPr>
              <w:t>　　　　　　　円</w:t>
            </w:r>
          </w:p>
          <w:p>
            <w:pPr>
              <w:pStyle w:val="Normal"/>
              <w:widowControl w:val="false"/>
              <w:suppressAutoHyphens w:val="true"/>
              <w:overflowPunct w:val="true"/>
              <w:spacing w:lineRule="atLeast" w:line="274"/>
              <w:ind w:firstLine="48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spacing w:val="16"/>
                <w:kern w:val="0"/>
              </w:rPr>
              <w:t>Ｄ：Ａの期間に対応する前年の３か月間の全体の売上高等</w:t>
            </w:r>
            <w:r>
              <w:rPr>
                <w:rFonts w:ascii="ＭＳ ゴシック" w:hAnsi="ＭＳ ゴシック" w:eastAsia="ＭＳ ゴシック" w:asciiTheme="majorEastAsia" w:eastAsiaTheme="majorEastAsia" w:hAnsiTheme="majorEastAsia"/>
                <w:color w:val="000000"/>
                <w:spacing w:val="16"/>
                <w:kern w:val="0"/>
                <w:u w:val="single"/>
              </w:rPr>
              <w:t>　　　　　　　円</w:t>
            </w:r>
          </w:p>
        </w:tc>
      </w:tr>
    </w:tbl>
    <w:p>
      <w:pPr>
        <w:pStyle w:val="Normal"/>
        <w:suppressAutoHyphens w:val="true"/>
        <w:spacing w:lineRule="atLeast" w:line="366"/>
        <w:ind w:left="281" w:hanging="281"/>
        <w:jc w:val="righ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suppressAutoHyphens w:val="true"/>
        <w:spacing w:lineRule="atLeast" w:line="366"/>
        <w:ind w:left="281" w:right="960" w:hanging="281"/>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suppressAutoHyphens w:val="true"/>
        <w:spacing w:lineRule="atLeast" w:line="366"/>
        <w:ind w:left="281" w:right="960" w:hanging="281"/>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suppressAutoHyphens w:val="true"/>
        <w:spacing w:lineRule="atLeast" w:line="366"/>
        <w:ind w:left="281" w:right="960" w:hanging="281"/>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suppressAutoHyphens w:val="true"/>
        <w:spacing w:lineRule="atLeast" w:line="366"/>
        <w:ind w:left="281" w:right="960" w:hanging="281"/>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before="120" w:after="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suppressAutoHyphens w:val="true"/>
        <w:spacing w:lineRule="atLeast" w:line="366" w:before="120" w:after="0"/>
        <w:ind w:left="257" w:right="-1" w:hanging="257"/>
        <w:jc w:val="righ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認定者名　小野町長　村　上　　昭　正　　　㊞　　　　　</w:t>
      </w:r>
    </w:p>
    <w:sectPr>
      <w:type w:val="nextPage"/>
      <w:pgSz w:w="11906" w:h="16838"/>
      <w:pgMar w:left="1077" w:right="567" w:gutter="0" w:header="0" w:top="567" w:footer="0" w:bottom="567"/>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03da"/>
    <w:pPr>
      <w:widowControl w:val="false"/>
      <w:bidi w:val="0"/>
      <w:spacing w:before="0" w:after="0"/>
      <w:jc w:val="both"/>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1">
    <w:name w:val="Heading 1"/>
    <w:basedOn w:val="Normal"/>
    <w:next w:val="Normal"/>
    <w:link w:val="11"/>
    <w:qFormat/>
    <w:pPr>
      <w:keepNext w:val="true"/>
      <w:outlineLvl w:val="0"/>
    </w:pPr>
    <w:rPr>
      <w:rFonts w:ascii="Arial" w:hAnsi="Arial" w:eastAsia="ＭＳ ゴシック" w:asciiTheme="majorHAnsi" w:eastAsiaTheme="majorEastAsia" w:hAnsiTheme="majorHAnsi"/>
      <w:sz w:val="24"/>
    </w:rPr>
  </w:style>
  <w:style w:type="paragraph" w:styleId="2">
    <w:name w:val="Heading 2"/>
    <w:basedOn w:val="Normal"/>
    <w:next w:val="Normal"/>
    <w:link w:val="21"/>
    <w:qFormat/>
    <w:pPr>
      <w:keepNext w:val="true"/>
      <w:outlineLvl w:val="1"/>
    </w:pPr>
    <w:rPr>
      <w:rFonts w:ascii="Arial" w:hAnsi="Arial" w:eastAsia="ＭＳ ゴシック"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qFormat/>
    <w:rPr>
      <w:rFonts w:ascii="Arial" w:hAnsi="Arial" w:eastAsia="ＭＳ ゴシック" w:asciiTheme="majorHAnsi" w:eastAsiaTheme="majorEastAsia" w:hAnsiTheme="majorHAnsi"/>
      <w:sz w:val="24"/>
    </w:rPr>
  </w:style>
  <w:style w:type="character" w:styleId="21" w:customStyle="1">
    <w:name w:val="見出し 2 (文字)"/>
    <w:basedOn w:val="DefaultParagraphFont"/>
    <w:qFormat/>
    <w:rPr>
      <w:rFonts w:ascii="Arial" w:hAnsi="Arial" w:eastAsia="ＭＳ ゴシック" w:asciiTheme="majorHAnsi" w:eastAsiaTheme="majorEastAsia" w:hAnsiTheme="majorHAnsi"/>
    </w:rPr>
  </w:style>
  <w:style w:type="character" w:styleId="Style12" w:customStyle="1">
    <w:name w:val="ヘッダー (文字)"/>
    <w:basedOn w:val="DefaultParagraphFont"/>
    <w:qFormat/>
    <w:rPr/>
  </w:style>
  <w:style w:type="character" w:styleId="Style13" w:customStyle="1">
    <w:name w:val="フッター (文字)"/>
    <w:basedOn w:val="DefaultParagraphFont"/>
    <w:qFormat/>
    <w:rPr/>
  </w:style>
  <w:style w:type="character" w:styleId="Style14" w:customStyle="1">
    <w:name w:val="吹き出し (文字)"/>
    <w:basedOn w:val="DefaultParagraphFont"/>
    <w:link w:val="BalloonText"/>
    <w:qFormat/>
    <w:rPr>
      <w:rFonts w:ascii="Arial" w:hAnsi="Arial" w:eastAsia="ＭＳ ゴシック" w:asciiTheme="majorHAnsi" w:eastAsiaTheme="majorEastAsia" w:hAnsiTheme="majorHAnsi"/>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semiHidden/>
    <w:qFormat/>
    <w:rPr>
      <w:sz w:val="18"/>
    </w:rPr>
  </w:style>
  <w:style w:type="character" w:styleId="Style15" w:customStyle="1">
    <w:name w:val="コメント文字列 (文字)"/>
    <w:basedOn w:val="DefaultParagraphFont"/>
    <w:link w:val="Annotationtext"/>
    <w:qFormat/>
    <w:rPr/>
  </w:style>
  <w:style w:type="character" w:styleId="Style16" w:customStyle="1">
    <w:name w:val="コメント内容 (文字)"/>
    <w:basedOn w:val="Style15"/>
    <w:link w:val="Annotationsubject"/>
    <w:qFormat/>
    <w:rPr>
      <w:b/>
    </w:rPr>
  </w:style>
  <w:style w:type="character" w:styleId="Pagenumber">
    <w:name w:val="page number"/>
    <w:basedOn w:val="DefaultParagraphFont"/>
    <w:qFormat/>
    <w:rPr/>
  </w:style>
  <w:style w:type="character" w:styleId="Style17" w:customStyle="1">
    <w:name w:val="日付 (文字)"/>
    <w:basedOn w:val="DefaultParagraphFont"/>
    <w:link w:val="Date"/>
    <w:qFormat/>
    <w:rPr>
      <w:rFonts w:ascii="Century" w:hAnsi="Century" w:eastAsia="ＭＳ 明朝"/>
    </w:rPr>
  </w:style>
  <w:style w:type="character" w:styleId="Style18" w:customStyle="1">
    <w:name w:val="書式なし (文字)"/>
    <w:basedOn w:val="DefaultParagraphFont"/>
    <w:link w:val="PlainText"/>
    <w:qFormat/>
    <w:rPr>
      <w:rFonts w:ascii="ＭＳ ゴシック" w:hAnsi="ＭＳ ゴシック" w:eastAsia="ＭＳ ゴシック"/>
      <w:sz w:val="20"/>
    </w:rPr>
  </w:style>
  <w:style w:type="character" w:styleId="Style19" w:customStyle="1">
    <w:name w:val="記 (文字)"/>
    <w:basedOn w:val="DefaultParagraphFont"/>
    <w:link w:val="NoteHeading"/>
    <w:qFormat/>
    <w:rPr>
      <w:rFonts w:ascii="ＭＳ ゴシック" w:hAnsi="ＭＳ ゴシック" w:eastAsia="ＭＳ ゴシック"/>
      <w:color w:val="000000"/>
      <w:kern w:val="0"/>
    </w:rPr>
  </w:style>
  <w:style w:type="character" w:styleId="Style20" w:customStyle="1">
    <w:name w:val="結語 (文字)"/>
    <w:basedOn w:val="DefaultParagraphFont"/>
    <w:link w:val="Closing"/>
    <w:qFormat/>
    <w:rPr>
      <w:rFonts w:ascii="ＭＳ ゴシック" w:hAnsi="ＭＳ ゴシック" w:eastAsia="ＭＳ ゴシック"/>
      <w:color w:val="000000"/>
      <w:kern w:val="0"/>
    </w:rPr>
  </w:style>
  <w:style w:type="character" w:styleId="Style21">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22">
    <w:name w:val="文末脚注参照記号"/>
    <w:rPr>
      <w:vertAlign w:val="superscript"/>
    </w:rPr>
  </w:style>
  <w:style w:type="character" w:styleId="EndnoteCharacters">
    <w:name w:val="Endnote Characters"/>
    <w:basedOn w:val="DefaultParagraphFont"/>
    <w:semiHidden/>
    <w:qFormat/>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lang w:val="zxx" w:eastAsia="zxx" w:bidi="zxx"/>
    </w:rPr>
  </w:style>
  <w:style w:type="paragraph" w:styleId="Style28">
    <w:name w:val="Index Heading"/>
    <w:basedOn w:val="Style23"/>
    <w:pPr/>
    <w:rPr/>
  </w:style>
  <w:style w:type="paragraph" w:styleId="Style29">
    <w:name w:val="TOC Heading"/>
    <w:basedOn w:val="1"/>
    <w:next w:val="Normal"/>
    <w:qFormat/>
    <w:pPr>
      <w:outlineLvl w:val="9"/>
    </w:pPr>
    <w:rPr/>
  </w:style>
  <w:style w:type="paragraph" w:styleId="Style30">
    <w:name w:val="ヘッダーとフッター"/>
    <w:basedOn w:val="Normal"/>
    <w:qFormat/>
    <w:pPr/>
    <w:rPr/>
  </w:style>
  <w:style w:type="paragraph" w:styleId="Style31">
    <w:name w:val="Header"/>
    <w:basedOn w:val="Normal"/>
    <w:link w:val="Style12"/>
    <w:pPr>
      <w:tabs>
        <w:tab w:val="clear" w:pos="840"/>
        <w:tab w:val="center" w:pos="4252" w:leader="none"/>
        <w:tab w:val="right" w:pos="8504" w:leader="none"/>
      </w:tabs>
      <w:snapToGrid w:val="false"/>
    </w:pPr>
    <w:rPr/>
  </w:style>
  <w:style w:type="paragraph" w:styleId="Style32">
    <w:name w:val="Footer"/>
    <w:basedOn w:val="Normal"/>
    <w:link w:val="Style13"/>
    <w:pPr>
      <w:tabs>
        <w:tab w:val="clear" w:pos="840"/>
        <w:tab w:val="center" w:pos="4252" w:leader="none"/>
        <w:tab w:val="right" w:pos="8504" w:leader="none"/>
      </w:tabs>
      <w:snapToGrid w:val="false"/>
    </w:pPr>
    <w:rPr/>
  </w:style>
  <w:style w:type="paragraph" w:styleId="BalloonText">
    <w:name w:val="Balloon Text"/>
    <w:basedOn w:val="Normal"/>
    <w:link w:val="Style14"/>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Style15"/>
    <w:semiHidden/>
    <w:qFormat/>
    <w:pPr>
      <w:jc w:val="left"/>
    </w:pPr>
    <w:rPr/>
  </w:style>
  <w:style w:type="paragraph" w:styleId="Annotationsubject">
    <w:name w:val="annotation subject"/>
    <w:basedOn w:val="Annotationtext"/>
    <w:next w:val="Annotationtext"/>
    <w:link w:val="Style16"/>
    <w:semiHidden/>
    <w:qFormat/>
    <w:pPr/>
    <w:rPr>
      <w:b/>
    </w:rPr>
  </w:style>
  <w:style w:type="paragraph" w:styleId="Revision">
    <w:name w:val="Revision"/>
    <w:qFormat/>
    <w:pPr>
      <w:widowControl/>
      <w:bidi w:val="0"/>
      <w:spacing w:before="0" w:after="0"/>
      <w:jc w:val="left"/>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ListParagraph">
    <w:name w:val="List Paragraph"/>
    <w:basedOn w:val="Normal"/>
    <w:qFormat/>
    <w:pPr>
      <w:ind w:left="840" w:hanging="0"/>
    </w:pPr>
    <w:rPr>
      <w:rFonts w:ascii="Century" w:hAnsi="Century" w:eastAsia="ＭＳ 明朝"/>
    </w:rPr>
  </w:style>
  <w:style w:type="paragraph" w:styleId="Date">
    <w:name w:val="Date"/>
    <w:basedOn w:val="Normal"/>
    <w:next w:val="Normal"/>
    <w:link w:val="Style17"/>
    <w:qFormat/>
    <w:pPr/>
    <w:rPr>
      <w:rFonts w:ascii="Century" w:hAnsi="Century" w:eastAsia="ＭＳ 明朝"/>
    </w:rPr>
  </w:style>
  <w:style w:type="paragraph" w:styleId="PlainText">
    <w:name w:val="Plain Text"/>
    <w:basedOn w:val="Normal"/>
    <w:link w:val="Style18"/>
    <w:qFormat/>
    <w:pPr>
      <w:jc w:val="left"/>
    </w:pPr>
    <w:rPr>
      <w:rFonts w:ascii="ＭＳ ゴシック" w:hAnsi="ＭＳ ゴシック" w:eastAsia="ＭＳ ゴシック"/>
      <w:sz w:val="20"/>
    </w:rPr>
  </w:style>
  <w:style w:type="paragraph" w:styleId="NoteHeading">
    <w:name w:val="Note Heading"/>
    <w:basedOn w:val="Normal"/>
    <w:next w:val="Normal"/>
    <w:link w:val="Style19"/>
    <w:qFormat/>
    <w:pPr>
      <w:jc w:val="center"/>
    </w:pPr>
    <w:rPr>
      <w:rFonts w:ascii="ＭＳ ゴシック" w:hAnsi="ＭＳ ゴシック" w:eastAsia="ＭＳ ゴシック"/>
      <w:color w:val="000000"/>
      <w:kern w:val="0"/>
    </w:rPr>
  </w:style>
  <w:style w:type="paragraph" w:styleId="Closing">
    <w:name w:val="Closing"/>
    <w:basedOn w:val="Normal"/>
    <w:link w:val="Style20"/>
    <w:qFormat/>
    <w:pPr>
      <w:jc w:val="right"/>
    </w:pPr>
    <w:rPr>
      <w:rFonts w:ascii="ＭＳ ゴシック" w:hAnsi="ＭＳ ゴシック" w:eastAsia="ＭＳ ゴシック"/>
      <w:color w:val="000000"/>
      <w:kern w:val="0"/>
    </w:rPr>
  </w:style>
  <w:style w:type="paragraph" w:styleId="Style3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d">
    <w:name w:val="Table Grid"/>
    <w:basedOn w:val="a1"/>
    <w:uiPriority w:val="39"/>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6A0D-D4E2-4771-9CB8-149FCA38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Application>LibreOffice/7.3.5.2$Windows_X86_64 LibreOffice_project/184fe81b8c8c30d8b5082578aee2fed2ea847c01</Application>
  <AppVersion>15.0000</AppVersion>
  <Pages>1</Pages>
  <Words>895</Words>
  <Characters>897</Characters>
  <CharactersWithSpaces>1194</CharactersWithSpaces>
  <Paragraphs>42</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2020-03-16T17:15:00Z</dcterms:created>
  <dc:creator>情報システム厚生課２</dc:creator>
  <dc:description/>
  <dc:language>ja-JP</dc:language>
  <cp:lastModifiedBy/>
  <cp:lastPrinted>2020-05-09T06:37:00Z</cp:lastPrinted>
  <dcterms:modified xsi:type="dcterms:W3CDTF">2024-03-25T14:27:55Z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